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44"/>
        </w:rPr>
        <w:t>Content Outline</w:t>
      </w:r>
    </w:p>
    <w:p>
      <w:pPr>
        <w:spacing w:after="40"/>
        <w:jc w:val="center"/>
      </w:pPr>
      <w:r>
        <w:rPr>
          <w:i w:val="0"/>
          <w:sz w:val="22"/>
        </w:rPr>
        <w:t>Project: Pillar Page Blog RevFactor.io</w:t>
      </w:r>
    </w:p>
    <w:p>
      <w:pPr>
        <w:spacing w:after="40"/>
        <w:jc w:val="center"/>
      </w:pPr>
      <w:r>
        <w:rPr>
          <w:i w:val="0"/>
          <w:sz w:val="22"/>
        </w:rPr>
      </w:r>
    </w:p>
    <w:p>
      <w:pPr>
        <w:spacing w:after="40"/>
        <w:jc w:val="center"/>
      </w:pPr>
      <w:r>
        <w:rPr>
          <w:i w:val="0"/>
          <w:sz w:val="22"/>
        </w:rPr>
        <w:t>Title: What Is Revenue Management for Short-Term Rentals? The Definitive Guide</w:t>
      </w:r>
    </w:p>
    <w:p>
      <w:pPr>
        <w:spacing w:after="40"/>
        <w:jc w:val="center"/>
      </w:pPr>
      <w:r>
        <w:rPr>
          <w:i w:val="0"/>
          <w:sz w:val="22"/>
        </w:rPr>
        <w:t>Author Attribution: Federico Zimerman, Founder, RevFactor</w:t>
      </w:r>
    </w:p>
    <w:p>
      <w:pPr>
        <w:spacing w:after="40"/>
        <w:jc w:val="center"/>
      </w:pPr>
      <w:r>
        <w:rPr>
          <w:i w:val="0"/>
          <w:sz w:val="22"/>
        </w:rPr>
        <w:t>Target Length: ~5000 words</w:t>
      </w:r>
    </w:p>
    <w:p>
      <w:pPr>
        <w:spacing w:after="40"/>
        <w:jc w:val="center"/>
      </w:pPr>
      <w:r>
        <w:rPr>
          <w:i w:val="0"/>
          <w:sz w:val="22"/>
        </w:rPr>
        <w:t>Content Type: High-intent pillar page</w:t>
      </w:r>
    </w:p>
    <w:p>
      <w:pPr>
        <w:spacing w:after="40"/>
        <w:jc w:val="center"/>
      </w:pPr>
      <w:r>
        <w:rPr>
          <w:i w:val="0"/>
          <w:sz w:val="22"/>
        </w:rPr>
        <w:t>Prepared by: GetCito Pvt. Ltd.</w:t>
      </w:r>
    </w:p>
    <w:p>
      <w:pPr>
        <w:spacing w:after="40"/>
        <w:jc w:val="center"/>
      </w:pPr>
      <w:r>
        <w:rPr>
          <w:i w:val="0"/>
          <w:sz w:val="22"/>
        </w:rPr>
      </w:r>
    </w:p>
    <w:p>
      <w:pPr>
        <w:spacing w:after="40"/>
        <w:jc w:val="center"/>
      </w:pPr>
      <w:r>
        <w:rPr>
          <w:i/>
          <w:sz w:val="22"/>
        </w:rPr>
        <w:t>Annotations added by Aaron Whittaker. Original outline content reproduced verbatim. Feedback in blue. Sources: Ahrefs (keywords + 38-link batch audit), Peec.ai (75-prompt baseline), Page Optimizer Pro, Onboarding Questionnaire, FireFlies discovery call (2026-04-22 with Avinash Tripathi), Federico Zimerman persona guide, RevFactor live site.</w:t>
      </w:r>
    </w:p>
    <w:p>
      <w:pPr>
        <w:spacing w:before="160" w:after="40"/>
        <w:ind w:left="216"/>
        <w:pBdr>
          <w:left w:val="single" w:sz="24" w:space="8" w:color="1A4FBF"/>
        </w:pBdr>
        <w:shd w:val="clear" w:color="auto" w:fill="F0F5FF"/>
      </w:pPr>
      <w:r>
        <w:rPr>
          <w:rFonts w:ascii="Helvetica" w:hAnsi="Helvetica"/>
          <w:b/>
          <w:color w:val="0A2E80"/>
          <w:sz w:val="18"/>
        </w:rPr>
        <w:t>TOP-LINE DECISION</w:t>
      </w:r>
    </w:p>
    <w:p>
      <w:pPr>
        <w:spacing w:after="80"/>
        <w:ind w:left="216"/>
        <w:pBdr>
          <w:left w:val="single" w:sz="24" w:space="8" w:color="1A4FBF"/>
        </w:pBdr>
        <w:shd w:val="clear" w:color="auto" w:fill="F0F5FF"/>
      </w:pPr>
      <w:r>
        <w:rPr>
          <w:rFonts w:ascii="Helvetica" w:hAnsi="Helvetica"/>
          <w:b/>
          <w:color w:val="1A4FBF"/>
          <w:sz w:val="21"/>
        </w:rPr>
        <w:t xml:space="preserve">This pillar should not ship in isolation. </w:t>
      </w:r>
      <w:r>
        <w:rPr>
          <w:rFonts w:ascii="Helvetica" w:hAnsi="Helvetica"/>
          <w:b w:val="0"/>
          <w:color w:val="1A4FBF"/>
          <w:sz w:val="21"/>
        </w:rPr>
        <w:t>Three things have to ship alongside it for it to do its job:</w:t>
      </w:r>
    </w:p>
    <w:p>
      <w:pPr>
        <w:pStyle w:val="ListBullet"/>
        <w:spacing w:after="40"/>
        <w:ind w:left="576"/>
        <w:pBdr>
          <w:left w:val="single" w:sz="24" w:space="8" w:color="1A4FBF"/>
        </w:pBdr>
        <w:shd w:val="clear" w:color="auto" w:fill="F0F5FF"/>
      </w:pPr>
      <w:r>
        <w:rPr>
          <w:rFonts w:ascii="Helvetica" w:hAnsi="Helvetica"/>
          <w:b/>
          <w:color w:val="1A4FBF"/>
          <w:sz w:val="21"/>
        </w:rPr>
        <w:t>A companion listicle — "Best STR Revenue Management Companies 2026" —</w:t>
      </w:r>
      <w:r>
        <w:rPr>
          <w:rFonts w:ascii="Helvetica" w:hAnsi="Helvetica"/>
          <w:color w:val="1A4FBF"/>
          <w:sz w:val="21"/>
        </w:rPr>
        <w:t xml:space="preserve"> to capture the ~60 vendor-discovery prompts in Peec that this pillar can't (the pillar is a definitional page, not a buyer-comparison page).</w:t>
      </w:r>
    </w:p>
    <w:p>
      <w:pPr>
        <w:pStyle w:val="ListBullet"/>
        <w:spacing w:after="40"/>
        <w:ind w:left="576"/>
        <w:pBdr>
          <w:left w:val="single" w:sz="24" w:space="8" w:color="1A4FBF"/>
        </w:pBdr>
        <w:shd w:val="clear" w:color="auto" w:fill="F0F5FF"/>
      </w:pPr>
      <w:r>
        <w:rPr>
          <w:rFonts w:ascii="Helvetica" w:hAnsi="Helvetica"/>
          <w:b/>
          <w:color w:val="1A4FBF"/>
          <w:sz w:val="21"/>
        </w:rPr>
        <w:t>A decision on the cannibalization triangle.</w:t>
      </w:r>
      <w:r>
        <w:rPr>
          <w:rFonts w:ascii="Helvetica" w:hAnsi="Helvetica"/>
          <w:color w:val="1A4FBF"/>
          <w:sz w:val="21"/>
        </w:rPr>
        <w:t xml:space="preserve"> Three URLs targeting the same intent right now: existing live /blog/dynamic-pricing-str-beginners-guide/ (1,126 words, indexed) + this new pillar + GetCito's planned "Dynamic Pricing vs Revenue Management: The Difference Nobody Explains" (Phase 2 item). Pick one URL to own the head term; the other two link UP to it.</w:t>
      </w:r>
    </w:p>
    <w:p>
      <w:pPr>
        <w:pStyle w:val="ListBullet"/>
        <w:spacing w:after="40"/>
        <w:ind w:left="576"/>
        <w:pBdr>
          <w:left w:val="single" w:sz="24" w:space="8" w:color="1A4FBF"/>
        </w:pBdr>
        <w:shd w:val="clear" w:color="auto" w:fill="F0F5FF"/>
      </w:pPr>
      <w:r>
        <w:rPr>
          <w:rFonts w:ascii="Helvetica" w:hAnsi="Helvetica"/>
          <w:b/>
          <w:color w:val="1A4FBF"/>
          <w:sz w:val="21"/>
        </w:rPr>
        <w:t>Brand disambiguation vs Refactor.ai</w:t>
      </w:r>
      <w:r>
        <w:rPr>
          <w:rFonts w:ascii="Helvetica" w:hAnsi="Helvetica"/>
          <w:color w:val="1A4FBF"/>
          <w:sz w:val="21"/>
        </w:rPr>
        <w:t xml:space="preserve"> — Avinash flagged this on the 4/22 call but it's not in any of the four GetCito strategy docs. Without llms.txt entity statement + Wikidata + schema sameAs locks, the pillar's AEO citations get split between revfactor.io and refactor.ai.</w:t>
      </w:r>
    </w:p>
    <w:p>
      <w:pPr>
        <w:spacing w:before="360" w:after="120"/>
        <w:pBdr>
          <w:bottom w:val="single" w:sz="6" w:space="1" w:color="CCCCCC"/>
        </w:pBdr>
      </w:pPr>
      <w:r>
        <w:rPr>
          <w:b/>
          <w:sz w:val="32"/>
        </w:rPr>
        <w:t>1. Strategic Overview</w:t>
      </w:r>
    </w:p>
    <w:tbl>
      <w:tblPr>
        <w:tblStyle w:val="LightGrid"/>
        <w:tblW w:type="auto" w:w="0"/>
        <w:jc w:val="left"/>
        <w:tblLook w:firstColumn="1" w:firstRow="1" w:lastColumn="0" w:lastRow="0" w:noHBand="0" w:noVBand="1" w:val="04A0"/>
      </w:tblPr>
      <w:tblGrid>
        <w:gridCol w:w="4680"/>
        <w:gridCol w:w="4680"/>
      </w:tblGrid>
      <w:tr>
        <w:tc>
          <w:tcPr>
            <w:tcW w:type="dxa" w:w="4680"/>
            <w:shd w:val="clear" w:color="auto" w:fill="F4F4F4"/>
          </w:tcPr>
          <w:p>
            <w:r>
              <w:rPr>
                <w:b/>
                <w:sz w:val="22"/>
              </w:rPr>
              <w:t>Element</w:t>
            </w:r>
          </w:p>
        </w:tc>
        <w:tc>
          <w:tcPr>
            <w:tcW w:type="dxa" w:w="4680"/>
            <w:shd w:val="clear" w:color="auto" w:fill="F4F4F4"/>
          </w:tcPr>
          <w:p>
            <w:r>
              <w:rPr>
                <w:b/>
                <w:sz w:val="22"/>
              </w:rPr>
              <w:t>Detail</w:t>
            </w:r>
          </w:p>
        </w:tc>
      </w:tr>
      <w:tr>
        <w:tc>
          <w:tcPr>
            <w:tcW w:type="dxa" w:w="4680"/>
          </w:tcPr>
          <w:p>
            <w:r>
              <w:rPr>
                <w:sz w:val="21"/>
              </w:rPr>
              <w:t>Primary Keyword</w:t>
            </w:r>
          </w:p>
        </w:tc>
        <w:tc>
          <w:tcPr>
            <w:tcW w:type="dxa" w:w="4680"/>
          </w:tcPr>
          <w:p>
            <w:r>
              <w:rPr>
                <w:sz w:val="21"/>
              </w:rPr>
              <w:t>Revenue management for short-term rentals</w:t>
            </w:r>
          </w:p>
        </w:tc>
      </w:tr>
      <w:tr>
        <w:tc>
          <w:tcPr>
            <w:tcW w:type="dxa" w:w="4680"/>
          </w:tcPr>
          <w:p>
            <w:r>
              <w:rPr>
                <w:sz w:val="21"/>
              </w:rPr>
              <w:t>Secondary Keywords</w:t>
            </w:r>
          </w:p>
        </w:tc>
        <w:tc>
          <w:tcPr>
            <w:tcW w:type="dxa" w:w="4680"/>
          </w:tcPr>
          <w:p>
            <w:r>
              <w:rPr>
                <w:sz w:val="21"/>
              </w:rPr>
              <w:t>dynamic pricing Airbnb, STR pricing strategy, revenue management Airbnb, short-term rental optimization</w:t>
            </w:r>
          </w:p>
        </w:tc>
      </w:tr>
      <w:tr>
        <w:tc>
          <w:tcPr>
            <w:tcW w:type="dxa" w:w="4680"/>
          </w:tcPr>
          <w:p>
            <w:r>
              <w:rPr>
                <w:sz w:val="21"/>
              </w:rPr>
              <w:t>Target Audience</w:t>
            </w:r>
          </w:p>
        </w:tc>
        <w:tc>
          <w:tcPr>
            <w:tcW w:type="dxa" w:w="4680"/>
          </w:tcPr>
          <w:p>
            <w:r>
              <w:rPr>
                <w:sz w:val="21"/>
              </w:rPr>
              <w:t>STR hosts (3–15 properties), property managers, STR investors</w:t>
            </w:r>
          </w:p>
        </w:tc>
      </w:tr>
      <w:tr>
        <w:tc>
          <w:tcPr>
            <w:tcW w:type="dxa" w:w="4680"/>
          </w:tcPr>
          <w:p>
            <w:r>
              <w:rPr>
                <w:sz w:val="21"/>
              </w:rPr>
              <w:t>Search Intent</w:t>
            </w:r>
          </w:p>
        </w:tc>
        <w:tc>
          <w:tcPr>
            <w:tcW w:type="dxa" w:w="4680"/>
          </w:tcPr>
          <w:p>
            <w:r>
              <w:rPr>
                <w:sz w:val="21"/>
              </w:rPr>
              <w:t>Informational → Commercial (educate then position)</w:t>
            </w:r>
          </w:p>
        </w:tc>
      </w:tr>
      <w:tr>
        <w:tc>
          <w:tcPr>
            <w:tcW w:type="dxa" w:w="4680"/>
          </w:tcPr>
          <w:p>
            <w:r>
              <w:rPr>
                <w:sz w:val="21"/>
              </w:rPr>
              <w:t>Content Goal</w:t>
            </w:r>
          </w:p>
        </w:tc>
        <w:tc>
          <w:tcPr>
            <w:tcW w:type="dxa" w:w="4680"/>
          </w:tcPr>
          <w:p>
            <w:r>
              <w:rPr>
                <w:sz w:val="21"/>
              </w:rPr>
              <w:t>Establish RevFactor as the category authority for STR revenue management</w:t>
            </w:r>
          </w:p>
        </w:tc>
      </w:tr>
      <w:tr>
        <w:tc>
          <w:tcPr>
            <w:tcW w:type="dxa" w:w="4680"/>
          </w:tcPr>
          <w:p>
            <w:r>
              <w:rPr>
                <w:sz w:val="21"/>
              </w:rPr>
              <w:t>Funnel Stage</w:t>
            </w:r>
          </w:p>
        </w:tc>
        <w:tc>
          <w:tcPr>
            <w:tcW w:type="dxa" w:w="4680"/>
          </w:tcPr>
          <w:p>
            <w:r>
              <w:rPr>
                <w:sz w:val="21"/>
              </w:rPr>
              <w:t>Top-of-funnel awareness → mid-funnel consideration</w:t>
            </w:r>
          </w:p>
        </w:tc>
      </w:tr>
    </w:tbl>
    <w:p>
      <w:pPr>
        <w:spacing w:before="160" w:after="40"/>
        <w:ind w:left="216"/>
        <w:pBdr>
          <w:left w:val="single" w:sz="24" w:space="8" w:color="1A4FBF"/>
        </w:pBdr>
        <w:shd w:val="clear" w:color="auto" w:fill="F0F5FF"/>
      </w:pPr>
      <w:r>
        <w:rPr>
          <w:rFonts w:ascii="Helvetica" w:hAnsi="Helvetica"/>
          <w:b/>
          <w:color w:val="0A2E80"/>
          <w:sz w:val="18"/>
        </w:rPr>
        <w:t>FEEDBACK — KEYWORD TARGETING</w:t>
      </w:r>
    </w:p>
    <w:p>
      <w:pPr>
        <w:spacing w:after="80"/>
        <w:ind w:left="216"/>
        <w:pBdr>
          <w:left w:val="single" w:sz="24" w:space="8" w:color="1A4FBF"/>
        </w:pBdr>
        <w:shd w:val="clear" w:color="auto" w:fill="F0F5FF"/>
      </w:pPr>
      <w:r>
        <w:rPr>
          <w:rFonts w:ascii="Helvetica" w:hAnsi="Helvetica"/>
          <w:color w:val="1A4FBF"/>
          <w:sz w:val="21"/>
        </w:rPr>
        <w:t>Live Ahrefs (US) numbers for this keyword set:</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E0EAFF"/>
          </w:tcPr>
          <w:p>
            <w:r>
              <w:rPr>
                <w:b/>
                <w:color w:val="0A2E80"/>
                <w:sz w:val="20"/>
              </w:rPr>
              <w:t>Keyword</w:t>
            </w:r>
          </w:p>
        </w:tc>
        <w:tc>
          <w:tcPr>
            <w:tcW w:type="dxa" w:w="1872"/>
            <w:shd w:val="clear" w:color="auto" w:fill="E0EAFF"/>
          </w:tcPr>
          <w:p>
            <w:r>
              <w:rPr>
                <w:b/>
                <w:color w:val="0A2E80"/>
                <w:sz w:val="20"/>
              </w:rPr>
              <w:t>Volume</w:t>
            </w:r>
          </w:p>
        </w:tc>
        <w:tc>
          <w:tcPr>
            <w:tcW w:type="dxa" w:w="1872"/>
            <w:shd w:val="clear" w:color="auto" w:fill="E0EAFF"/>
          </w:tcPr>
          <w:p>
            <w:r>
              <w:rPr>
                <w:b/>
                <w:color w:val="0A2E80"/>
                <w:sz w:val="20"/>
              </w:rPr>
              <w:t>KD</w:t>
            </w:r>
          </w:p>
        </w:tc>
        <w:tc>
          <w:tcPr>
            <w:tcW w:type="dxa" w:w="1872"/>
            <w:shd w:val="clear" w:color="auto" w:fill="E0EAFF"/>
          </w:tcPr>
          <w:p>
            <w:r>
              <w:rPr>
                <w:b/>
                <w:color w:val="0A2E80"/>
                <w:sz w:val="20"/>
              </w:rPr>
              <w:t>Traffic Potential</w:t>
            </w:r>
          </w:p>
        </w:tc>
        <w:tc>
          <w:tcPr>
            <w:tcW w:type="dxa" w:w="1872"/>
            <w:shd w:val="clear" w:color="auto" w:fill="E0EAFF"/>
          </w:tcPr>
          <w:p>
            <w:r>
              <w:rPr>
                <w:b/>
                <w:color w:val="0A2E80"/>
                <w:sz w:val="20"/>
              </w:rPr>
              <w:t>Note</w:t>
            </w:r>
          </w:p>
        </w:tc>
      </w:tr>
      <w:tr>
        <w:tc>
          <w:tcPr>
            <w:tcW w:type="dxa" w:w="1872"/>
          </w:tcPr>
          <w:p>
            <w:r>
              <w:rPr>
                <w:sz w:val="19"/>
              </w:rPr>
              <w:t>revenue management for short-term rentals (primary)</w:t>
            </w:r>
          </w:p>
        </w:tc>
        <w:tc>
          <w:tcPr>
            <w:tcW w:type="dxa" w:w="1872"/>
          </w:tcPr>
          <w:p>
            <w:r>
              <w:rPr>
                <w:sz w:val="19"/>
              </w:rPr>
              <w:t>0</w:t>
            </w:r>
          </w:p>
        </w:tc>
        <w:tc>
          <w:tcPr>
            <w:tcW w:type="dxa" w:w="1872"/>
          </w:tcPr>
          <w:p>
            <w:r>
              <w:rPr>
                <w:sz w:val="19"/>
              </w:rPr>
              <w:t>—</w:t>
            </w:r>
          </w:p>
        </w:tc>
        <w:tc>
          <w:tcPr>
            <w:tcW w:type="dxa" w:w="1872"/>
          </w:tcPr>
          <w:p>
            <w:r>
              <w:rPr>
                <w:sz w:val="19"/>
              </w:rPr>
              <w:t>—</w:t>
            </w:r>
          </w:p>
        </w:tc>
        <w:tc>
          <w:tcPr>
            <w:tcW w:type="dxa" w:w="1872"/>
          </w:tcPr>
          <w:p>
            <w:r>
              <w:rPr>
                <w:sz w:val="19"/>
              </w:rPr>
              <w:t>AEO-only target</w:t>
            </w:r>
          </w:p>
        </w:tc>
      </w:tr>
      <w:tr>
        <w:tc>
          <w:tcPr>
            <w:tcW w:type="dxa" w:w="1872"/>
          </w:tcPr>
          <w:p>
            <w:r>
              <w:rPr>
                <w:sz w:val="19"/>
              </w:rPr>
              <w:t>str pricing strategy</w:t>
            </w:r>
          </w:p>
        </w:tc>
        <w:tc>
          <w:tcPr>
            <w:tcW w:type="dxa" w:w="1872"/>
          </w:tcPr>
          <w:p>
            <w:r>
              <w:rPr>
                <w:sz w:val="19"/>
              </w:rPr>
              <w:t>0</w:t>
            </w:r>
          </w:p>
        </w:tc>
        <w:tc>
          <w:tcPr>
            <w:tcW w:type="dxa" w:w="1872"/>
          </w:tcPr>
          <w:p>
            <w:r>
              <w:rPr>
                <w:sz w:val="19"/>
              </w:rPr>
              <w:t>—</w:t>
            </w:r>
          </w:p>
        </w:tc>
        <w:tc>
          <w:tcPr>
            <w:tcW w:type="dxa" w:w="1872"/>
          </w:tcPr>
          <w:p>
            <w:r>
              <w:rPr>
                <w:sz w:val="19"/>
              </w:rPr>
              <w:t>—</w:t>
            </w:r>
          </w:p>
        </w:tc>
        <w:tc>
          <w:tcPr>
            <w:tcW w:type="dxa" w:w="1872"/>
          </w:tcPr>
          <w:p>
            <w:r>
              <w:rPr>
                <w:sz w:val="19"/>
              </w:rPr>
              <w:t>AEO-only</w:t>
            </w:r>
          </w:p>
        </w:tc>
      </w:tr>
      <w:tr>
        <w:tc>
          <w:tcPr>
            <w:tcW w:type="dxa" w:w="1872"/>
          </w:tcPr>
          <w:p>
            <w:r>
              <w:rPr>
                <w:sz w:val="19"/>
              </w:rPr>
              <w:t>airbnb revenue management</w:t>
            </w:r>
          </w:p>
        </w:tc>
        <w:tc>
          <w:tcPr>
            <w:tcW w:type="dxa" w:w="1872"/>
          </w:tcPr>
          <w:p>
            <w:r>
              <w:rPr>
                <w:sz w:val="19"/>
              </w:rPr>
              <w:t>150</w:t>
            </w:r>
          </w:p>
        </w:tc>
        <w:tc>
          <w:tcPr>
            <w:tcW w:type="dxa" w:w="1872"/>
          </w:tcPr>
          <w:p>
            <w:r>
              <w:rPr>
                <w:sz w:val="19"/>
              </w:rPr>
              <w:t>18</w:t>
            </w:r>
          </w:p>
        </w:tc>
        <w:tc>
          <w:tcPr>
            <w:tcW w:type="dxa" w:w="1872"/>
          </w:tcPr>
          <w:p>
            <w:r>
              <w:rPr>
                <w:sz w:val="19"/>
              </w:rPr>
              <w:t>40</w:t>
            </w:r>
          </w:p>
        </w:tc>
        <w:tc>
          <w:tcPr>
            <w:tcW w:type="dxa" w:w="1872"/>
          </w:tcPr>
          <w:p>
            <w:r>
              <w:rPr>
                <w:sz w:val="19"/>
              </w:rPr>
              <w:t>Better primary candidate</w:t>
            </w:r>
          </w:p>
        </w:tc>
      </w:tr>
      <w:tr>
        <w:tc>
          <w:tcPr>
            <w:tcW w:type="dxa" w:w="1872"/>
          </w:tcPr>
          <w:p>
            <w:r>
              <w:rPr>
                <w:sz w:val="19"/>
              </w:rPr>
              <w:t>str revenue management</w:t>
            </w:r>
          </w:p>
        </w:tc>
        <w:tc>
          <w:tcPr>
            <w:tcW w:type="dxa" w:w="1872"/>
          </w:tcPr>
          <w:p>
            <w:r>
              <w:rPr>
                <w:sz w:val="19"/>
              </w:rPr>
              <w:t>150</w:t>
            </w:r>
          </w:p>
        </w:tc>
        <w:tc>
          <w:tcPr>
            <w:tcW w:type="dxa" w:w="1872"/>
          </w:tcPr>
          <w:p>
            <w:r>
              <w:rPr>
                <w:sz w:val="19"/>
              </w:rPr>
              <w:t>—</w:t>
            </w:r>
          </w:p>
        </w:tc>
        <w:tc>
          <w:tcPr>
            <w:tcW w:type="dxa" w:w="1872"/>
          </w:tcPr>
          <w:p>
            <w:r>
              <w:rPr>
                <w:sz w:val="19"/>
              </w:rPr>
              <w:t>—</w:t>
            </w:r>
          </w:p>
        </w:tc>
        <w:tc>
          <w:tcPr>
            <w:tcW w:type="dxa" w:w="1872"/>
          </w:tcPr>
          <w:p>
            <w:r>
              <w:rPr>
                <w:sz w:val="19"/>
              </w:rPr>
              <w:t>Strong supporting</w:t>
            </w:r>
          </w:p>
        </w:tc>
      </w:tr>
      <w:tr>
        <w:tc>
          <w:tcPr>
            <w:tcW w:type="dxa" w:w="1872"/>
          </w:tcPr>
          <w:p>
            <w:r>
              <w:rPr>
                <w:sz w:val="19"/>
              </w:rPr>
              <w:t>airbnb pricing strategy</w:t>
            </w:r>
          </w:p>
        </w:tc>
        <w:tc>
          <w:tcPr>
            <w:tcW w:type="dxa" w:w="1872"/>
          </w:tcPr>
          <w:p>
            <w:r>
              <w:rPr>
                <w:sz w:val="19"/>
              </w:rPr>
              <w:t>250</w:t>
            </w:r>
          </w:p>
        </w:tc>
        <w:tc>
          <w:tcPr>
            <w:tcW w:type="dxa" w:w="1872"/>
          </w:tcPr>
          <w:p>
            <w:r>
              <w:rPr>
                <w:sz w:val="19"/>
              </w:rPr>
              <w:t>5</w:t>
            </w:r>
          </w:p>
        </w:tc>
        <w:tc>
          <w:tcPr>
            <w:tcW w:type="dxa" w:w="1872"/>
          </w:tcPr>
          <w:p>
            <w:r>
              <w:rPr>
                <w:sz w:val="19"/>
              </w:rPr>
              <w:t>10</w:t>
            </w:r>
          </w:p>
        </w:tc>
        <w:tc>
          <w:tcPr>
            <w:tcW w:type="dxa" w:w="1872"/>
          </w:tcPr>
          <w:p>
            <w:r>
              <w:rPr>
                <w:sz w:val="19"/>
              </w:rPr>
              <w:t>Easy ranking</w:t>
            </w:r>
          </w:p>
        </w:tc>
      </w:tr>
      <w:tr>
        <w:tc>
          <w:tcPr>
            <w:tcW w:type="dxa" w:w="1872"/>
          </w:tcPr>
          <w:p>
            <w:r>
              <w:rPr>
                <w:sz w:val="19"/>
              </w:rPr>
              <w:t>dynamic pricing airbnb</w:t>
            </w:r>
          </w:p>
        </w:tc>
        <w:tc>
          <w:tcPr>
            <w:tcW w:type="dxa" w:w="1872"/>
          </w:tcPr>
          <w:p>
            <w:r>
              <w:rPr>
                <w:sz w:val="19"/>
              </w:rPr>
              <w:t>200</w:t>
            </w:r>
          </w:p>
        </w:tc>
        <w:tc>
          <w:tcPr>
            <w:tcW w:type="dxa" w:w="1872"/>
          </w:tcPr>
          <w:p>
            <w:r>
              <w:rPr>
                <w:sz w:val="19"/>
              </w:rPr>
              <w:t>10</w:t>
            </w:r>
          </w:p>
        </w:tc>
        <w:tc>
          <w:tcPr>
            <w:tcW w:type="dxa" w:w="1872"/>
          </w:tcPr>
          <w:p>
            <w:r>
              <w:rPr>
                <w:sz w:val="19"/>
              </w:rPr>
              <w:t>1,400</w:t>
            </w:r>
          </w:p>
        </w:tc>
        <w:tc>
          <w:tcPr>
            <w:tcW w:type="dxa" w:w="1872"/>
          </w:tcPr>
          <w:p>
            <w:r>
              <w:rPr>
                <w:sz w:val="19"/>
              </w:rPr>
              <w:t>Real traffic prize — long tail</w:t>
            </w:r>
          </w:p>
        </w:tc>
      </w:tr>
      <w:tr>
        <w:tc>
          <w:tcPr>
            <w:tcW w:type="dxa" w:w="1872"/>
          </w:tcPr>
          <w:p>
            <w:r>
              <w:rPr>
                <w:sz w:val="19"/>
              </w:rPr>
              <w:t>short-term rental optimization</w:t>
            </w:r>
          </w:p>
        </w:tc>
        <w:tc>
          <w:tcPr>
            <w:tcW w:type="dxa" w:w="1872"/>
          </w:tcPr>
          <w:p>
            <w:r>
              <w:rPr>
                <w:sz w:val="19"/>
              </w:rPr>
              <w:t>20</w:t>
            </w:r>
          </w:p>
        </w:tc>
        <w:tc>
          <w:tcPr>
            <w:tcW w:type="dxa" w:w="1872"/>
          </w:tcPr>
          <w:p>
            <w:r>
              <w:rPr>
                <w:sz w:val="19"/>
              </w:rPr>
              <w:t>—</w:t>
            </w:r>
          </w:p>
        </w:tc>
        <w:tc>
          <w:tcPr>
            <w:tcW w:type="dxa" w:w="1872"/>
          </w:tcPr>
          <w:p>
            <w:r>
              <w:rPr>
                <w:sz w:val="19"/>
              </w:rPr>
              <w:t>—</w:t>
            </w:r>
          </w:p>
        </w:tc>
        <w:tc>
          <w:tcPr>
            <w:tcW w:type="dxa" w:w="1872"/>
          </w:tcPr>
          <w:p>
            <w:r>
              <w:rPr>
                <w:sz w:val="19"/>
              </w:rPr>
              <w:t>AEO-only</w:t>
            </w:r>
          </w:p>
        </w:tc>
      </w:tr>
      <w:tr>
        <w:tc>
          <w:tcPr>
            <w:tcW w:type="dxa" w:w="1872"/>
          </w:tcPr>
          <w:p>
            <w:r>
              <w:rPr>
                <w:sz w:val="19"/>
              </w:rPr>
              <w:t>revpar airbnb</w:t>
            </w:r>
          </w:p>
        </w:tc>
        <w:tc>
          <w:tcPr>
            <w:tcW w:type="dxa" w:w="1872"/>
          </w:tcPr>
          <w:p>
            <w:r>
              <w:rPr>
                <w:sz w:val="19"/>
              </w:rPr>
              <w:t>30</w:t>
            </w:r>
          </w:p>
        </w:tc>
        <w:tc>
          <w:tcPr>
            <w:tcW w:type="dxa" w:w="1872"/>
          </w:tcPr>
          <w:p>
            <w:r>
              <w:rPr>
                <w:sz w:val="19"/>
              </w:rPr>
              <w:t>—</w:t>
            </w:r>
          </w:p>
        </w:tc>
        <w:tc>
          <w:tcPr>
            <w:tcW w:type="dxa" w:w="1872"/>
          </w:tcPr>
          <w:p>
            <w:r>
              <w:rPr>
                <w:sz w:val="19"/>
              </w:rPr>
              <w:t>—</w:t>
            </w:r>
          </w:p>
        </w:tc>
        <w:tc>
          <w:tcPr>
            <w:tcW w:type="dxa" w:w="1872"/>
          </w:tcPr>
          <w:p>
            <w:r>
              <w:rPr>
                <w:sz w:val="19"/>
              </w:rPr>
              <w:t>Use as section anchor</w:t>
            </w:r>
          </w:p>
        </w:tc>
      </w:tr>
    </w:tbl>
    <w:p>
      <w:pPr>
        <w:spacing w:after="80"/>
        <w:ind w:left="216"/>
        <w:pBdr>
          <w:left w:val="single" w:sz="24" w:space="8" w:color="1A4FBF"/>
        </w:pBdr>
        <w:shd w:val="clear" w:color="auto" w:fill="F0F5FF"/>
      </w:pPr>
      <w:r>
        <w:rPr>
          <w:rFonts w:ascii="Helvetica" w:hAnsi="Helvetica"/>
          <w:b/>
          <w:color w:val="1A4FBF"/>
          <w:sz w:val="21"/>
        </w:rPr>
        <w:t xml:space="preserve">Recommendation: </w:t>
      </w:r>
      <w:r>
        <w:rPr>
          <w:rFonts w:ascii="Helvetica" w:hAnsi="Helvetica"/>
          <w:b w:val="0"/>
          <w:color w:val="1A4FBF"/>
          <w:sz w:val="21"/>
        </w:rPr>
        <w:t>Add "airbnb revenue management" as a tracked secondary primary (it owns 90% of the same intent at vol 150 / KD 18) and structure the page so the H1 + first 200 words also surface "dynamic pricing for short-term rentals" naturally — that bridges into the 1,400-TP cluster without changing the URL.</w:t>
      </w:r>
    </w:p>
    <w:p>
      <w:pPr>
        <w:spacing w:before="360" w:after="120"/>
        <w:pBdr>
          <w:bottom w:val="single" w:sz="6" w:space="1" w:color="CCCCCC"/>
        </w:pBdr>
      </w:pPr>
      <w:r>
        <w:rPr>
          <w:b/>
          <w:sz w:val="32"/>
        </w:rPr>
        <w:t>2. Page Metadata</w:t>
      </w:r>
    </w:p>
    <w:tbl>
      <w:tblPr>
        <w:tblStyle w:val="LightGrid"/>
        <w:tblW w:type="auto" w:w="0"/>
        <w:jc w:val="left"/>
        <w:tblLook w:firstColumn="1" w:firstRow="1" w:lastColumn="0" w:lastRow="0" w:noHBand="0" w:noVBand="1" w:val="04A0"/>
      </w:tblPr>
      <w:tblGrid>
        <w:gridCol w:w="4680"/>
        <w:gridCol w:w="4680"/>
      </w:tblGrid>
      <w:tr>
        <w:tc>
          <w:tcPr>
            <w:tcW w:type="dxa" w:w="4680"/>
            <w:shd w:val="clear" w:color="auto" w:fill="F4F4F4"/>
          </w:tcPr>
          <w:p>
            <w:r>
              <w:rPr>
                <w:b/>
                <w:sz w:val="22"/>
              </w:rPr>
              <w:t>Field</w:t>
            </w:r>
          </w:p>
        </w:tc>
        <w:tc>
          <w:tcPr>
            <w:tcW w:type="dxa" w:w="4680"/>
            <w:shd w:val="clear" w:color="auto" w:fill="F4F4F4"/>
          </w:tcPr>
          <w:p>
            <w:r>
              <w:rPr>
                <w:b/>
                <w:sz w:val="22"/>
              </w:rPr>
              <w:t>Content</w:t>
            </w:r>
          </w:p>
        </w:tc>
      </w:tr>
      <w:tr>
        <w:tc>
          <w:tcPr>
            <w:tcW w:type="dxa" w:w="4680"/>
          </w:tcPr>
          <w:p>
            <w:r>
              <w:rPr>
                <w:sz w:val="21"/>
              </w:rPr>
              <w:t>SEO Title</w:t>
            </w:r>
          </w:p>
        </w:tc>
        <w:tc>
          <w:tcPr>
            <w:tcW w:type="dxa" w:w="4680"/>
          </w:tcPr>
          <w:p>
            <w:r>
              <w:rPr>
                <w:sz w:val="21"/>
              </w:rPr>
              <w:t>Revenue Management for Short-Term Rentals: The Definitive Guide (2026)</w:t>
            </w:r>
          </w:p>
        </w:tc>
      </w:tr>
      <w:tr>
        <w:tc>
          <w:tcPr>
            <w:tcW w:type="dxa" w:w="4680"/>
          </w:tcPr>
          <w:p>
            <w:r>
              <w:rPr>
                <w:sz w:val="21"/>
              </w:rPr>
              <w:t>Meta Description</w:t>
            </w:r>
          </w:p>
        </w:tc>
        <w:tc>
          <w:tcPr>
            <w:tcW w:type="dxa" w:w="4680"/>
          </w:tcPr>
          <w:p>
            <w:r>
              <w:rPr>
                <w:sz w:val="21"/>
              </w:rPr>
              <w:t>Revenue management for short-term rentals goes far beyond dynamic pricing. Learn the frameworks, metrics, and tactical plays used to manage 165+ STR properties.</w:t>
            </w:r>
          </w:p>
        </w:tc>
      </w:tr>
      <w:tr>
        <w:tc>
          <w:tcPr>
            <w:tcW w:type="dxa" w:w="4680"/>
          </w:tcPr>
          <w:p>
            <w:r>
              <w:rPr>
                <w:sz w:val="21"/>
              </w:rPr>
              <w:t>URL Slug</w:t>
            </w:r>
          </w:p>
        </w:tc>
        <w:tc>
          <w:tcPr>
            <w:tcW w:type="dxa" w:w="4680"/>
          </w:tcPr>
          <w:p>
            <w:r>
              <w:rPr>
                <w:sz w:val="21"/>
              </w:rPr>
              <w:t>/revenue-management-short-term-rentals-definitive-guide</w:t>
            </w:r>
          </w:p>
        </w:tc>
      </w:tr>
      <w:tr>
        <w:tc>
          <w:tcPr>
            <w:tcW w:type="dxa" w:w="4680"/>
          </w:tcPr>
          <w:p>
            <w:r>
              <w:rPr>
                <w:sz w:val="21"/>
              </w:rPr>
              <w:t>H1</w:t>
            </w:r>
          </w:p>
        </w:tc>
        <w:tc>
          <w:tcPr>
            <w:tcW w:type="dxa" w:w="4680"/>
          </w:tcPr>
          <w:p>
            <w:r>
              <w:rPr>
                <w:sz w:val="21"/>
              </w:rPr>
              <w:t>Revenue Management for Short-Term Rentals: The Definitive Guide</w:t>
            </w:r>
          </w:p>
        </w:tc>
      </w:tr>
      <w:tr>
        <w:tc>
          <w:tcPr>
            <w:tcW w:type="dxa" w:w="4680"/>
          </w:tcPr>
          <w:p>
            <w:r>
              <w:rPr>
                <w:sz w:val="21"/>
              </w:rPr>
              <w:t>Content Refresh Frequency</w:t>
            </w:r>
          </w:p>
        </w:tc>
        <w:tc>
          <w:tcPr>
            <w:tcW w:type="dxa" w:w="4680"/>
          </w:tcPr>
          <w:p>
            <w:r>
              <w:rPr>
                <w:sz w:val="21"/>
              </w:rPr>
              <w:t>Every month</w:t>
            </w:r>
          </w:p>
        </w:tc>
      </w:tr>
    </w:tbl>
    <w:p>
      <w:pPr>
        <w:spacing w:before="160" w:after="40"/>
        <w:ind w:left="216"/>
        <w:pBdr>
          <w:left w:val="single" w:sz="24" w:space="8" w:color="1A4FBF"/>
        </w:pBdr>
        <w:shd w:val="clear" w:color="auto" w:fill="F0F5FF"/>
      </w:pPr>
      <w:r>
        <w:rPr>
          <w:rFonts w:ascii="Helvetica" w:hAnsi="Helvetica"/>
          <w:b/>
          <w:color w:val="0A2E80"/>
          <w:sz w:val="18"/>
        </w:rPr>
        <w:t>FEEDBACK — METADATA</w:t>
      </w:r>
    </w:p>
    <w:p>
      <w:pPr>
        <w:pStyle w:val="ListBullet"/>
        <w:spacing w:after="40"/>
        <w:ind w:left="576"/>
        <w:pBdr>
          <w:left w:val="single" w:sz="24" w:space="8" w:color="1A4FBF"/>
        </w:pBdr>
        <w:shd w:val="clear" w:color="auto" w:fill="F0F5FF"/>
      </w:pPr>
      <w:r>
        <w:rPr>
          <w:rFonts w:ascii="Helvetica" w:hAnsi="Helvetica"/>
          <w:b/>
          <w:color w:val="1A4FBF"/>
          <w:sz w:val="21"/>
        </w:rPr>
        <w:t>URL slug too long.</w:t>
      </w:r>
      <w:r>
        <w:rPr>
          <w:rFonts w:ascii="Helvetica" w:hAnsi="Helvetica"/>
          <w:color w:val="1A4FBF"/>
          <w:sz w:val="21"/>
        </w:rPr>
        <w:t xml:space="preserve"> 53 characters of slug. Trim to /revenue-management-short-term-rentals/ — same authority, cleaner internal linking.</w:t>
      </w:r>
    </w:p>
    <w:p>
      <w:pPr>
        <w:pStyle w:val="ListBullet"/>
        <w:spacing w:after="40"/>
        <w:ind w:left="576"/>
        <w:pBdr>
          <w:left w:val="single" w:sz="24" w:space="8" w:color="1A4FBF"/>
        </w:pBdr>
        <w:shd w:val="clear" w:color="auto" w:fill="F0F5FF"/>
      </w:pPr>
      <w:r>
        <w:rPr>
          <w:rFonts w:ascii="Helvetica" w:hAnsi="Helvetica"/>
          <w:b/>
          <w:color w:val="1A4FBF"/>
          <w:sz w:val="21"/>
        </w:rPr>
        <w:t>SEO title (2026):</w:t>
      </w:r>
      <w:r>
        <w:rPr>
          <w:rFonts w:ascii="Helvetica" w:hAnsi="Helvetica"/>
          <w:color w:val="1A4FBF"/>
          <w:sz w:val="21"/>
        </w:rPr>
        <w:t xml:space="preserve"> Year in title helps freshness signaling. Keep — and set a calendar reminder to flip to (2027) on Jan 1.</w:t>
      </w:r>
    </w:p>
    <w:p>
      <w:pPr>
        <w:pStyle w:val="ListBullet"/>
        <w:spacing w:after="40"/>
        <w:ind w:left="576"/>
        <w:pBdr>
          <w:left w:val="single" w:sz="24" w:space="8" w:color="1A4FBF"/>
        </w:pBdr>
        <w:shd w:val="clear" w:color="auto" w:fill="F0F5FF"/>
      </w:pPr>
      <w:r>
        <w:rPr>
          <w:rFonts w:ascii="Helvetica" w:hAnsi="Helvetica"/>
          <w:b/>
          <w:color w:val="1A4FBF"/>
          <w:sz w:val="21"/>
        </w:rPr>
        <w:t>Schema package not specified in outline.</w:t>
      </w:r>
      <w:r>
        <w:rPr>
          <w:rFonts w:ascii="Helvetica" w:hAnsi="Helvetica"/>
          <w:color w:val="1A4FBF"/>
          <w:sz w:val="21"/>
        </w:rPr>
        <w:t xml:space="preserve"> Add Article + Author (Person schema with Federico's full credentials + sameAs LinkedIn / IG / TikTok / YouTube / podcast feeds), BreadcrumbList, FAQPage, and DefinedTerm in Section 3. HowTo schema on the Tactical Playbook is optional but high-value for AEO.</w:t>
      </w:r>
    </w:p>
    <w:p>
      <w:pPr>
        <w:spacing w:before="360" w:after="120"/>
        <w:pBdr>
          <w:bottom w:val="single" w:sz="6" w:space="1" w:color="CCCCCC"/>
        </w:pBdr>
      </w:pPr>
      <w:r>
        <w:rPr>
          <w:b/>
          <w:sz w:val="32"/>
        </w:rPr>
        <w:t>3. Section-by-Section Framework</w:t>
      </w:r>
    </w:p>
    <w:p>
      <w:pPr>
        <w:spacing w:after="120"/>
      </w:pPr>
      <w:r>
        <w:rPr>
          <w:b w:val="0"/>
          <w:i w:val="0"/>
          <w:sz w:val="22"/>
        </w:rPr>
        <w:t>Each section below outlines the format the content will take, a 2–3 sentence summary of what will actually be covered in the prose, and the strategic purpose the section serves within the overall pillar page.</w:t>
      </w:r>
    </w:p>
    <w:p>
      <w:pPr>
        <w:spacing w:before="280" w:after="80"/>
      </w:pPr>
      <w:r>
        <w:rPr>
          <w:b/>
          <w:sz w:val="26"/>
        </w:rPr>
        <w:t>Section 1: Key Takeaways</w:t>
      </w:r>
    </w:p>
    <w:p>
      <w:pPr>
        <w:pStyle w:val="ListBullet"/>
        <w:spacing w:after="40"/>
        <w:ind w:left="360"/>
      </w:pPr>
      <w:r>
        <w:rPr>
          <w:b/>
          <w:sz w:val="22"/>
        </w:rPr>
        <w:t>Format:</w:t>
      </w:r>
      <w:r>
        <w:rPr>
          <w:sz w:val="22"/>
        </w:rPr>
        <w:t xml:space="preserve"> Bulleted list (7 points)</w:t>
      </w:r>
    </w:p>
    <w:p>
      <w:pPr>
        <w:pStyle w:val="ListBullet"/>
        <w:spacing w:after="40"/>
        <w:ind w:left="360"/>
      </w:pPr>
      <w:r>
        <w:rPr>
          <w:b/>
          <w:sz w:val="22"/>
        </w:rPr>
        <w:t>Content:</w:t>
      </w:r>
      <w:r>
        <w:rPr>
          <w:sz w:val="22"/>
        </w:rPr>
        <w:t xml:space="preserve"> This section opens the article with seven distilled insights that summarize the core arguments of the entire guide from the discipline-versus-tool distinction and the common ADR/RevPAR misconception to the perishable-inventory frame and the underestimated role of inventory rules. It is written as a self-contained block so a skim-reader gets the full thesis in under 60 seconds, and so AI search engines can lift it cleanly as a citation.</w:t>
      </w:r>
    </w:p>
    <w:p>
      <w:pPr>
        <w:pStyle w:val="ListBullet"/>
        <w:spacing w:after="40"/>
        <w:ind w:left="360"/>
      </w:pPr>
      <w:r>
        <w:rPr>
          <w:b/>
          <w:sz w:val="22"/>
        </w:rPr>
        <w:t>Purpose:</w:t>
      </w:r>
      <w:r>
        <w:rPr>
          <w:sz w:val="22"/>
        </w:rPr>
        <w:t xml:space="preserve"> Skim-reader value + AEO citation block</w:t>
      </w:r>
    </w:p>
    <w:p>
      <w:pPr>
        <w:spacing w:before="160" w:after="40"/>
        <w:ind w:left="216"/>
        <w:pBdr>
          <w:left w:val="single" w:sz="24" w:space="8" w:color="1A4FBF"/>
        </w:pBdr>
        <w:shd w:val="clear" w:color="auto" w:fill="F0F5FF"/>
      </w:pPr>
      <w:r>
        <w:rPr>
          <w:rFonts w:ascii="Helvetica" w:hAnsi="Helvetica"/>
          <w:b/>
          <w:color w:val="0A2E80"/>
          <w:sz w:val="18"/>
        </w:rPr>
        <w:t>FEEDBACK — SECTION 1</w:t>
      </w:r>
    </w:p>
    <w:p>
      <w:pPr>
        <w:spacing w:after="80"/>
        <w:ind w:left="216"/>
        <w:pBdr>
          <w:left w:val="single" w:sz="24" w:space="8" w:color="1A4FBF"/>
        </w:pBdr>
        <w:shd w:val="clear" w:color="auto" w:fill="F0F5FF"/>
      </w:pPr>
      <w:r>
        <w:rPr>
          <w:rFonts w:ascii="Helvetica" w:hAnsi="Helvetica"/>
          <w:color w:val="1A4FBF"/>
          <w:sz w:val="21"/>
        </w:rPr>
        <w:t>Strong call to lead with this. Confirms with the TL;DR placement rule: blog/listicle/directory pages start with TL;DR. Three refinements:</w:t>
      </w:r>
    </w:p>
    <w:p>
      <w:pPr>
        <w:pStyle w:val="ListBullet"/>
        <w:spacing w:after="40"/>
        <w:ind w:left="576"/>
        <w:pBdr>
          <w:left w:val="single" w:sz="24" w:space="8" w:color="1A4FBF"/>
        </w:pBdr>
        <w:shd w:val="clear" w:color="auto" w:fill="F0F5FF"/>
      </w:pPr>
      <w:r>
        <w:rPr>
          <w:rFonts w:ascii="Helvetica" w:hAnsi="Helvetica"/>
          <w:b/>
          <w:color w:val="1A4FBF"/>
          <w:sz w:val="21"/>
        </w:rPr>
        <w:t>Add one bullet that defines the term verbatim.</w:t>
      </w:r>
      <w:r>
        <w:rPr>
          <w:rFonts w:ascii="Helvetica" w:hAnsi="Helvetica"/>
          <w:color w:val="1A4FBF"/>
          <w:sz w:val="21"/>
        </w:rPr>
        <w:t xml:space="preserve"> Peec prompt #34 ("what is dynamic pricing for short term rentals") is at volume tier 4 with 0% RevFactor visibility. A 25-word definition bullet is the highest-leverage AEO insertion in the entire piece.</w:t>
      </w:r>
    </w:p>
    <w:p>
      <w:pPr>
        <w:pStyle w:val="ListBullet"/>
        <w:spacing w:after="40"/>
        <w:ind w:left="576"/>
        <w:pBdr>
          <w:left w:val="single" w:sz="24" w:space="8" w:color="1A4FBF"/>
        </w:pBdr>
        <w:shd w:val="clear" w:color="auto" w:fill="F0F5FF"/>
      </w:pPr>
      <w:r>
        <w:rPr>
          <w:rFonts w:ascii="Helvetica" w:hAnsi="Helvetica"/>
          <w:b/>
          <w:color w:val="1A4FBF"/>
          <w:sz w:val="21"/>
        </w:rPr>
        <w:t>Cap each bullet at one sentence (~25 words).</w:t>
      </w:r>
      <w:r>
        <w:rPr>
          <w:rFonts w:ascii="Helvetica" w:hAnsi="Helvetica"/>
          <w:color w:val="1A4FBF"/>
          <w:sz w:val="21"/>
        </w:rPr>
        <w:t xml:space="preserve"> ChatGPT and Perplexity citation extraction prefers single-sentence bullets — multi-clause bullets get truncated mid-thought.</w:t>
      </w:r>
    </w:p>
    <w:p>
      <w:pPr>
        <w:pStyle w:val="ListBullet"/>
        <w:spacing w:after="40"/>
        <w:ind w:left="576"/>
        <w:pBdr>
          <w:left w:val="single" w:sz="24" w:space="8" w:color="1A4FBF"/>
        </w:pBdr>
        <w:shd w:val="clear" w:color="auto" w:fill="F0F5FF"/>
      </w:pPr>
      <w:r>
        <w:rPr>
          <w:rFonts w:ascii="Helvetica" w:hAnsi="Helvetica"/>
          <w:b/>
          <w:color w:val="1A4FBF"/>
          <w:sz w:val="21"/>
        </w:rPr>
        <w:t>Lift Federico's signature line directly:</w:t>
      </w:r>
      <w:r>
        <w:rPr>
          <w:rFonts w:ascii="Helvetica" w:hAnsi="Helvetica"/>
          <w:color w:val="1A4FBF"/>
          <w:sz w:val="21"/>
        </w:rPr>
        <w:t xml:space="preserve"> "A night that is not sold can never be sold again." Confirmed in Federico's transcripts (Onboarding §5.4 lists it as a key quote). That's the one phrase to push hardest as a TL;DR bullet — already the implicit closing thesis of the article and would compound with itself.</w:t>
      </w:r>
    </w:p>
    <w:p>
      <w:pPr>
        <w:spacing w:before="280" w:after="80"/>
      </w:pPr>
      <w:r>
        <w:rPr>
          <w:b/>
          <w:sz w:val="26"/>
        </w:rPr>
        <w:t>Section 2: Opening Hook</w:t>
      </w:r>
    </w:p>
    <w:p>
      <w:pPr>
        <w:pStyle w:val="ListBullet"/>
        <w:spacing w:after="40"/>
        <w:ind w:left="360"/>
      </w:pPr>
      <w:r>
        <w:rPr>
          <w:b/>
          <w:sz w:val="22"/>
        </w:rPr>
        <w:t>Format:</w:t>
      </w:r>
      <w:r>
        <w:rPr>
          <w:sz w:val="22"/>
        </w:rPr>
        <w:t xml:space="preserve"> Narrative anecdote</w:t>
      </w:r>
    </w:p>
    <w:p>
      <w:pPr>
        <w:pStyle w:val="ListBullet"/>
        <w:spacing w:after="40"/>
        <w:ind w:left="360"/>
      </w:pPr>
      <w:r>
        <w:rPr>
          <w:b/>
          <w:sz w:val="22"/>
        </w:rPr>
        <w:t>Content:</w:t>
      </w:r>
      <w:r>
        <w:rPr>
          <w:sz w:val="22"/>
        </w:rPr>
        <w:t xml:space="preserve"> Federico opens with a real client conversation: a host who confidently said her property was performing well, and then went silent when asked about RevPAR, pacing, and competitive positioning. The anecdote establishes the central thesis of the piece that having PriceLabs running is not the same as managing revenue and sets the calm, analytical, story-driven voice that the rest of the article will carry.</w:t>
      </w:r>
    </w:p>
    <w:p>
      <w:pPr>
        <w:pStyle w:val="ListBullet"/>
        <w:spacing w:after="40"/>
        <w:ind w:left="360"/>
      </w:pPr>
      <w:r>
        <w:rPr>
          <w:b/>
          <w:sz w:val="22"/>
        </w:rPr>
        <w:t>Purpose:</w:t>
      </w:r>
      <w:r>
        <w:rPr>
          <w:sz w:val="22"/>
        </w:rPr>
        <w:t xml:space="preserve"> Establish voice, introduce central thesis (tools ≠ revenue management)</w:t>
      </w:r>
    </w:p>
    <w:p>
      <w:pPr>
        <w:spacing w:before="160" w:after="40"/>
        <w:ind w:left="216"/>
        <w:pBdr>
          <w:left w:val="single" w:sz="24" w:space="8" w:color="1A4FBF"/>
        </w:pBdr>
        <w:shd w:val="clear" w:color="auto" w:fill="F0F5FF"/>
      </w:pPr>
      <w:r>
        <w:rPr>
          <w:rFonts w:ascii="Helvetica" w:hAnsi="Helvetica"/>
          <w:b/>
          <w:color w:val="0A2E80"/>
          <w:sz w:val="18"/>
        </w:rPr>
        <w:t>FEEDBACK — SECTION 2</w:t>
      </w:r>
    </w:p>
    <w:p>
      <w:pPr>
        <w:pStyle w:val="ListBullet"/>
        <w:spacing w:after="40"/>
        <w:ind w:left="576"/>
        <w:pBdr>
          <w:left w:val="single" w:sz="24" w:space="8" w:color="1A4FBF"/>
        </w:pBdr>
        <w:shd w:val="clear" w:color="auto" w:fill="F0F5FF"/>
      </w:pPr>
      <w:r>
        <w:rPr>
          <w:rFonts w:ascii="Helvetica" w:hAnsi="Helvetica"/>
          <w:b/>
          <w:color w:val="1A4FBF"/>
          <w:sz w:val="21"/>
        </w:rPr>
        <w:t>Voice check.</w:t>
      </w:r>
      <w:r>
        <w:rPr>
          <w:rFonts w:ascii="Helvetica" w:hAnsi="Helvetica"/>
          <w:color w:val="1A4FBF"/>
          <w:sz w:val="21"/>
        </w:rPr>
        <w:t xml:space="preserve"> Per persona guide, Federico's signature phrase is "Let me show you [specific thing]" and his rhythm is short / medium / long staircase. Make sure GetCito's draft uses that opener verbatim somewhere in this section — single most identifiable Federico voice marker. Onboarding §5.4 confirms it.</w:t>
      </w:r>
    </w:p>
    <w:p>
      <w:pPr>
        <w:pStyle w:val="ListBullet"/>
        <w:spacing w:after="40"/>
        <w:ind w:left="576"/>
        <w:pBdr>
          <w:left w:val="single" w:sz="24" w:space="8" w:color="1A4FBF"/>
        </w:pBdr>
        <w:shd w:val="clear" w:color="auto" w:fill="F0F5FF"/>
      </w:pPr>
      <w:r>
        <w:rPr>
          <w:rFonts w:ascii="Helvetica" w:hAnsi="Helvetica"/>
          <w:b/>
          <w:color w:val="1A4FBF"/>
          <w:sz w:val="21"/>
        </w:rPr>
        <w:t>Anecdote source verified.</w:t>
      </w:r>
      <w:r>
        <w:rPr>
          <w:rFonts w:ascii="Helvetica" w:hAnsi="Helvetica"/>
          <w:color w:val="1A4FBF"/>
          <w:sz w:val="21"/>
        </w:rPr>
        <w:t xml:space="preserve"> The "I asked her how much she was selling. Silence." moment is in No Vacancy Ep 155 (Onboarding §4.2). Real conversation, OK to lead with.</w:t>
      </w:r>
    </w:p>
    <w:p>
      <w:pPr>
        <w:spacing w:before="280" w:after="80"/>
      </w:pPr>
      <w:r>
        <w:rPr>
          <w:b/>
          <w:sz w:val="26"/>
        </w:rPr>
        <w:t>Section 3: What Is Revenue Management for Short-Term Rentals?</w:t>
      </w:r>
    </w:p>
    <w:p>
      <w:pPr>
        <w:pStyle w:val="ListBullet"/>
        <w:spacing w:after="40"/>
        <w:ind w:left="360"/>
      </w:pPr>
      <w:r>
        <w:rPr>
          <w:b/>
          <w:sz w:val="22"/>
        </w:rPr>
        <w:t>Format:</w:t>
      </w:r>
      <w:r>
        <w:rPr>
          <w:sz w:val="22"/>
        </w:rPr>
        <w:t xml:space="preserve"> Definition callout box plus supporting prose</w:t>
      </w:r>
    </w:p>
    <w:p>
      <w:pPr>
        <w:pStyle w:val="ListBullet"/>
        <w:spacing w:after="40"/>
        <w:ind w:left="360"/>
      </w:pPr>
      <w:r>
        <w:rPr>
          <w:b/>
          <w:sz w:val="22"/>
        </w:rPr>
        <w:t>Content:</w:t>
      </w:r>
      <w:r>
        <w:rPr>
          <w:sz w:val="22"/>
        </w:rPr>
        <w:t xml:space="preserve"> Provides the formal, primary-keyword-anchored definition of revenue management, then explicitly distinguishes it from pricing, tools, and occupancy maximization. Traces the discipline back to American Airlines in the late 1970s, when newly deregulated competition forced the industry to reckon with seats that became worthless the moment a flight took off, and uses that origin to introduce the perishable-inventory mental model that an unsold Friday night and an empty seat at takeoff are the same problem in different clothes.</w:t>
      </w:r>
    </w:p>
    <w:p>
      <w:pPr>
        <w:pStyle w:val="ListBullet"/>
        <w:spacing w:after="40"/>
        <w:ind w:left="360"/>
      </w:pPr>
      <w:r>
        <w:rPr>
          <w:b/>
          <w:sz w:val="22"/>
        </w:rPr>
        <w:t>Purpose:</w:t>
      </w:r>
      <w:r>
        <w:rPr>
          <w:sz w:val="22"/>
        </w:rPr>
        <w:t xml:space="preserve"> Anchor the primary keyword and provide a clean, citable definition for AI search engines.</w:t>
      </w:r>
    </w:p>
    <w:p>
      <w:pPr>
        <w:spacing w:before="160" w:after="40"/>
        <w:ind w:left="216"/>
        <w:pBdr>
          <w:left w:val="single" w:sz="24" w:space="8" w:color="1A4FBF"/>
        </w:pBdr>
        <w:shd w:val="clear" w:color="auto" w:fill="F0F5FF"/>
      </w:pPr>
      <w:r>
        <w:rPr>
          <w:rFonts w:ascii="Helvetica" w:hAnsi="Helvetica"/>
          <w:b/>
          <w:color w:val="0A2E80"/>
          <w:sz w:val="18"/>
        </w:rPr>
        <w:t>FEEDBACK — SECTION 3 (highest-leverage block in the piece)</w:t>
      </w:r>
    </w:p>
    <w:p>
      <w:pPr>
        <w:pStyle w:val="ListBullet"/>
        <w:spacing w:after="40"/>
        <w:ind w:left="576"/>
        <w:pBdr>
          <w:left w:val="single" w:sz="24" w:space="8" w:color="1A4FBF"/>
        </w:pBdr>
        <w:shd w:val="clear" w:color="auto" w:fill="F0F5FF"/>
      </w:pPr>
      <w:r>
        <w:rPr>
          <w:rFonts w:ascii="Helvetica" w:hAnsi="Helvetica"/>
          <w:b/>
          <w:color w:val="1A4FBF"/>
          <w:sz w:val="21"/>
        </w:rPr>
        <w:t>Most important block in the whole article for AEO.</w:t>
      </w:r>
      <w:r>
        <w:rPr>
          <w:rFonts w:ascii="Helvetica" w:hAnsi="Helvetica"/>
          <w:color w:val="1A4FBF"/>
          <w:sz w:val="21"/>
        </w:rPr>
        <w:t xml:space="preserve"> Definition needs to be ≤40 words, written in third person, frontloaded in the section. ChatGPT/Perplexity will lift the first definitional sentence following an H2 question. Format: "Revenue management for short-term rentals is the discipline of [doing X] to [achieve Y]. It is distinct from dynamic pricing, which is [Z]."</w:t>
      </w:r>
    </w:p>
    <w:p>
      <w:pPr>
        <w:pStyle w:val="ListBullet"/>
        <w:spacing w:after="40"/>
        <w:ind w:left="576"/>
        <w:pBdr>
          <w:left w:val="single" w:sz="24" w:space="8" w:color="1A4FBF"/>
        </w:pBdr>
        <w:shd w:val="clear" w:color="auto" w:fill="F0F5FF"/>
      </w:pPr>
      <w:r>
        <w:rPr>
          <w:rFonts w:ascii="Helvetica" w:hAnsi="Helvetica"/>
          <w:b/>
          <w:color w:val="1A4FBF"/>
          <w:sz w:val="21"/>
        </w:rPr>
        <w:t>Add DefinedTerm JSON-LD schema</w:t>
      </w:r>
      <w:r>
        <w:rPr>
          <w:rFonts w:ascii="Helvetica" w:hAnsi="Helvetica"/>
          <w:color w:val="1A4FBF"/>
          <w:sz w:val="21"/>
        </w:rPr>
        <w:t xml:space="preserve"> wrapping the callout box. Five extra lines of code, materially boosts AI engine citation rate.</w:t>
      </w:r>
    </w:p>
    <w:p>
      <w:pPr>
        <w:pStyle w:val="ListBullet"/>
        <w:spacing w:after="40"/>
        <w:ind w:left="576"/>
        <w:pBdr>
          <w:left w:val="single" w:sz="24" w:space="8" w:color="1A4FBF"/>
        </w:pBdr>
        <w:shd w:val="clear" w:color="auto" w:fill="F0F5FF"/>
      </w:pPr>
      <w:r>
        <w:rPr>
          <w:rFonts w:ascii="Helvetica" w:hAnsi="Helvetica"/>
          <w:b/>
          <w:color w:val="1A4FBF"/>
          <w:sz w:val="21"/>
        </w:rPr>
        <w:t>Federico's airline pedigree is verified</w:t>
      </w:r>
      <w:r>
        <w:rPr>
          <w:rFonts w:ascii="Helvetica" w:hAnsi="Helvetica"/>
          <w:color w:val="1A4FBF"/>
          <w:sz w:val="21"/>
        </w:rPr>
        <w:t xml:space="preserve"> (10 years American Airlines Buenos Aires per persona guide + Onboarding §1.1). Lean into it.</w:t>
      </w:r>
    </w:p>
    <w:p>
      <w:pPr>
        <w:pStyle w:val="ListBullet"/>
        <w:spacing w:after="40"/>
        <w:ind w:left="576"/>
        <w:pBdr>
          <w:left w:val="single" w:sz="24" w:space="8" w:color="1A4FBF"/>
        </w:pBdr>
        <w:shd w:val="clear" w:color="auto" w:fill="F0F5FF"/>
      </w:pPr>
      <w:r>
        <w:rPr>
          <w:rFonts w:ascii="Helvetica" w:hAnsi="Helvetica"/>
          <w:b/>
          <w:color w:val="1A4FBF"/>
          <w:sz w:val="21"/>
        </w:rPr>
        <w:t>POP NLP gap.</w:t>
      </w:r>
      <w:r>
        <w:rPr>
          <w:rFonts w:ascii="Helvetica" w:hAnsi="Helvetica"/>
          <w:color w:val="1A4FBF"/>
          <w:sz w:val="21"/>
        </w:rPr>
        <w:t xml:space="preserve"> Page Optimizer Pro flagged "PMS" (property management system) as core to the SERP cluster — outline never mentions it. Add one line: "Revenue management sits one layer above the PMS — Hostaway, Guesty, Lodgify, Hospitable handle operations; the revenue manager decides what those systems should be doing." Adds 4–5 entity mentions that map to Peec-tracked competitors.</w:t>
      </w:r>
    </w:p>
    <w:p>
      <w:pPr>
        <w:pStyle w:val="ListBullet"/>
        <w:spacing w:after="40"/>
        <w:ind w:left="576"/>
        <w:pBdr>
          <w:left w:val="single" w:sz="24" w:space="8" w:color="1A4FBF"/>
        </w:pBdr>
        <w:shd w:val="clear" w:color="auto" w:fill="F0F5FF"/>
      </w:pPr>
      <w:r>
        <w:rPr>
          <w:rFonts w:ascii="Helvetica" w:hAnsi="Helvetica"/>
          <w:b/>
          <w:color w:val="1A4FBF"/>
          <w:sz w:val="21"/>
        </w:rPr>
        <w:t>Brand disambiguation hook.</w:t>
      </w:r>
      <w:r>
        <w:rPr>
          <w:rFonts w:ascii="Helvetica" w:hAnsi="Helvetica"/>
          <w:color w:val="1A4FBF"/>
          <w:sz w:val="21"/>
        </w:rPr>
        <w:t xml:space="preserve"> Add a parenthetical: "(RevFactor — not Refactor.ai, the unrelated SaaS company.)" One line, but it forces the AI engine to disambiguate the brand entity at the definitional moment. Single highest-leverage insertion for the Refactor.ai problem Avinash flagged.</w:t>
      </w:r>
    </w:p>
    <w:p>
      <w:pPr>
        <w:spacing w:before="280" w:after="80"/>
      </w:pPr>
      <w:r>
        <w:rPr>
          <w:b/>
          <w:sz w:val="26"/>
        </w:rPr>
        <w:t>Section 4: Revenue Management vs. Dynamic Pricing</w:t>
      </w:r>
    </w:p>
    <w:p>
      <w:pPr>
        <w:pStyle w:val="ListBullet"/>
        <w:spacing w:after="40"/>
        <w:ind w:left="360"/>
      </w:pPr>
      <w:r>
        <w:rPr>
          <w:b/>
          <w:sz w:val="22"/>
        </w:rPr>
        <w:t>Format:</w:t>
      </w:r>
      <w:r>
        <w:rPr>
          <w:sz w:val="22"/>
        </w:rPr>
        <w:t xml:space="preserve"> Comparison table + explanatory prose</w:t>
      </w:r>
    </w:p>
    <w:p>
      <w:pPr>
        <w:pStyle w:val="ListBullet"/>
        <w:spacing w:after="40"/>
        <w:ind w:left="360"/>
      </w:pPr>
      <w:r>
        <w:rPr>
          <w:b/>
          <w:sz w:val="22"/>
        </w:rPr>
        <w:t>Content:</w:t>
      </w:r>
      <w:r>
        <w:rPr>
          <w:sz w:val="22"/>
        </w:rPr>
        <w:t xml:space="preserve"> A side-by-side table breaks down the two concepts across six dimensions: what each is, what each does, time horizon, levers controlled, required input, and the best analogy (cruise control vs. the driver). The supporting prose names the major pricing tools by category (PriceLabs, Beyond, Wheelhouse), acknowledges where their default settings work and where they break, and positions revenue management as the strategic layer that decides what those tools should actually be doing.</w:t>
      </w:r>
    </w:p>
    <w:p>
      <w:pPr>
        <w:pStyle w:val="ListBullet"/>
        <w:spacing w:after="40"/>
        <w:ind w:left="360"/>
      </w:pPr>
      <w:r>
        <w:rPr>
          <w:b/>
          <w:sz w:val="22"/>
        </w:rPr>
        <w:t>Purpose:</w:t>
      </w:r>
      <w:r>
        <w:rPr>
          <w:sz w:val="22"/>
        </w:rPr>
        <w:t xml:space="preserve"> Own the category distinction; highly citable table format</w:t>
      </w:r>
    </w:p>
    <w:p>
      <w:pPr>
        <w:spacing w:before="160" w:after="40"/>
        <w:ind w:left="216"/>
        <w:pBdr>
          <w:left w:val="single" w:sz="24" w:space="8" w:color="1A4FBF"/>
        </w:pBdr>
        <w:shd w:val="clear" w:color="auto" w:fill="F0F5FF"/>
      </w:pPr>
      <w:r>
        <w:rPr>
          <w:rFonts w:ascii="Helvetica" w:hAnsi="Helvetica"/>
          <w:b/>
          <w:color w:val="0A2E80"/>
          <w:sz w:val="18"/>
        </w:rPr>
        <w:t>FEEDBACK — SECTION 4</w:t>
      </w:r>
    </w:p>
    <w:p>
      <w:pPr>
        <w:pStyle w:val="ListBullet"/>
        <w:spacing w:after="40"/>
        <w:ind w:left="576"/>
        <w:pBdr>
          <w:left w:val="single" w:sz="24" w:space="8" w:color="1A4FBF"/>
        </w:pBdr>
        <w:shd w:val="clear" w:color="auto" w:fill="F0F5FF"/>
      </w:pPr>
      <w:r>
        <w:rPr>
          <w:rFonts w:ascii="Helvetica" w:hAnsi="Helvetica"/>
          <w:b/>
          <w:color w:val="1A4FBF"/>
          <w:sz w:val="21"/>
        </w:rPr>
        <w:t>This is the bridge into the "dynamic pricing airbnb" cluster (TP 1,400).</w:t>
      </w:r>
      <w:r>
        <w:rPr>
          <w:rFonts w:ascii="Helvetica" w:hAnsi="Helvetica"/>
          <w:color w:val="1A4FBF"/>
          <w:sz w:val="21"/>
        </w:rPr>
        <w:t xml:space="preserve"> Add a section anchor #dynamic-pricing so internal links can target it specifically. Use the H2 phrasing "Revenue Management vs. Dynamic Pricing for Airbnb" — natural keyword match.</w:t>
      </w:r>
    </w:p>
    <w:p>
      <w:pPr>
        <w:pStyle w:val="ListBullet"/>
        <w:spacing w:after="40"/>
        <w:ind w:left="576"/>
        <w:pBdr>
          <w:left w:val="single" w:sz="24" w:space="8" w:color="1A4FBF"/>
        </w:pBdr>
        <w:shd w:val="clear" w:color="auto" w:fill="F0F5FF"/>
      </w:pPr>
      <w:r>
        <w:rPr>
          <w:rFonts w:ascii="Helvetica" w:hAnsi="Helvetica"/>
          <w:b/>
          <w:color w:val="1A4FBF"/>
          <w:sz w:val="21"/>
        </w:rPr>
        <w:t>Merge the planned "Dynamic Pricing vs Revenue Management" Phase 2 post INTO this section</w:t>
      </w:r>
      <w:r>
        <w:rPr>
          <w:rFonts w:ascii="Helvetica" w:hAnsi="Helvetica"/>
          <w:color w:val="1A4FBF"/>
          <w:sz w:val="21"/>
        </w:rPr>
        <w:t xml:space="preserve"> rather than letting it stand alone. Otherwise it's a third URL competing for the same intent (cannibalization triangle, see banner).</w:t>
      </w:r>
    </w:p>
    <w:p>
      <w:pPr>
        <w:pStyle w:val="ListBullet"/>
        <w:spacing w:after="40"/>
        <w:ind w:left="576"/>
        <w:pBdr>
          <w:left w:val="single" w:sz="24" w:space="8" w:color="1A4FBF"/>
        </w:pBdr>
        <w:shd w:val="clear" w:color="auto" w:fill="F0F5FF"/>
      </w:pPr>
      <w:r>
        <w:rPr>
          <w:rFonts w:ascii="Helvetica" w:hAnsi="Helvetica"/>
          <w:b/>
          <w:color w:val="1A4FBF"/>
          <w:sz w:val="21"/>
        </w:rPr>
        <w:t>Tools mentioned should match Peec brand list.</w:t>
      </w:r>
      <w:r>
        <w:rPr>
          <w:rFonts w:ascii="Helvetica" w:hAnsi="Helvetica"/>
          <w:color w:val="1A4FBF"/>
          <w:sz w:val="21"/>
        </w:rPr>
        <w:t xml:space="preserve"> Naming PriceLabs, Beyond Pricing, Wheelhouse is correct (all three are Peec-tracked, dominate SOV). Add one passing mention each of Hostaway, Guesty, Hospitable — those are PMS-tier competitors, naming them in context strengthens the entity graph.</w:t>
      </w:r>
    </w:p>
    <w:p>
      <w:pPr>
        <w:spacing w:before="280" w:after="80"/>
      </w:pPr>
      <w:r>
        <w:rPr>
          <w:b/>
          <w:sz w:val="26"/>
        </w:rPr>
        <w:t>Section 5: Why Pricing Tools Alone Leave Money on the Table</w:t>
      </w:r>
    </w:p>
    <w:p>
      <w:pPr>
        <w:pStyle w:val="ListBullet"/>
        <w:spacing w:after="40"/>
        <w:ind w:left="360"/>
      </w:pPr>
      <w:r>
        <w:rPr>
          <w:b/>
          <w:sz w:val="22"/>
        </w:rPr>
        <w:t>Format:</w:t>
      </w:r>
      <w:r>
        <w:rPr>
          <w:sz w:val="22"/>
        </w:rPr>
        <w:t xml:space="preserve"> Numbered list (6 points)</w:t>
      </w:r>
    </w:p>
    <w:p>
      <w:pPr>
        <w:pStyle w:val="ListBullet"/>
        <w:spacing w:after="40"/>
        <w:ind w:left="360"/>
      </w:pPr>
      <w:r>
        <w:rPr>
          <w:b/>
          <w:sz w:val="22"/>
        </w:rPr>
        <w:t>Content:</w:t>
      </w:r>
      <w:r>
        <w:rPr>
          <w:sz w:val="22"/>
        </w:rPr>
        <w:t xml:space="preserve"> Walks through the six most common revenue leaks Federico finds when he audits tool-only portfolios: a baseline rate set too low for the market, static minimum-stay rules across seasons, invisible booking pacing, an inaccurate or stale competitive set, missing local-event data, and the complete absence of a length-of-stay discount strategy. Each item is framed as a strategy gap rather than a tool failure, which validates the reader's pain points while reinforcing the article's central distinction.</w:t>
      </w:r>
    </w:p>
    <w:p>
      <w:pPr>
        <w:pStyle w:val="ListBullet"/>
        <w:spacing w:after="40"/>
        <w:ind w:left="360"/>
      </w:pPr>
      <w:r>
        <w:rPr>
          <w:b/>
          <w:sz w:val="22"/>
        </w:rPr>
        <w:t>Purpose:</w:t>
      </w:r>
      <w:r>
        <w:rPr>
          <w:sz w:val="22"/>
        </w:rPr>
        <w:t xml:space="preserve"> Validate reader pain points, set up a case for revenue management</w:t>
      </w:r>
    </w:p>
    <w:p>
      <w:pPr>
        <w:spacing w:before="160" w:after="40"/>
        <w:ind w:left="216"/>
        <w:pBdr>
          <w:left w:val="single" w:sz="24" w:space="8" w:color="1A4FBF"/>
        </w:pBdr>
        <w:shd w:val="clear" w:color="auto" w:fill="F0F5FF"/>
      </w:pPr>
      <w:r>
        <w:rPr>
          <w:rFonts w:ascii="Helvetica" w:hAnsi="Helvetica"/>
          <w:b/>
          <w:color w:val="0A2E80"/>
          <w:sz w:val="18"/>
        </w:rPr>
        <w:t>FEEDBACK — SECTION 5</w:t>
      </w:r>
    </w:p>
    <w:p>
      <w:pPr>
        <w:spacing w:after="80"/>
        <w:ind w:left="216"/>
        <w:pBdr>
          <w:left w:val="single" w:sz="24" w:space="8" w:color="1A4FBF"/>
        </w:pBdr>
        <w:shd w:val="clear" w:color="auto" w:fill="F0F5FF"/>
      </w:pPr>
      <w:r>
        <w:rPr>
          <w:rFonts w:ascii="Helvetica" w:hAnsi="Helvetica"/>
          <w:color w:val="1A4FBF"/>
          <w:sz w:val="21"/>
        </w:rPr>
        <w:t>Strong section. The "strategy gap, not tool failure" framing is exactly right — lets the page coexist with PriceLabs/Beyond/Wheelhouse rather than antagonizing readers who already pay them.</w:t>
      </w:r>
    </w:p>
    <w:p>
      <w:pPr>
        <w:pStyle w:val="ListBullet"/>
        <w:spacing w:after="40"/>
        <w:ind w:left="576"/>
        <w:pBdr>
          <w:left w:val="single" w:sz="24" w:space="8" w:color="1A4FBF"/>
        </w:pBdr>
        <w:shd w:val="clear" w:color="auto" w:fill="F0F5FF"/>
      </w:pPr>
      <w:r>
        <w:rPr>
          <w:rFonts w:ascii="Helvetica" w:hAnsi="Helvetica"/>
          <w:b/>
          <w:color w:val="1A4FBF"/>
          <w:sz w:val="21"/>
        </w:rPr>
        <w:t>Bump to 7, not 6.</w:t>
      </w:r>
      <w:r>
        <w:rPr>
          <w:rFonts w:ascii="Helvetica" w:hAnsi="Helvetica"/>
          <w:color w:val="1A4FBF"/>
          <w:sz w:val="21"/>
        </w:rPr>
        <w:t xml:space="preserve"> Add: "No integration between pricing tool and PMS." Mirrors Peec prompt #46 ("who can help me manage pricing across different booking platforms") which is at volume tier 3 with 0% RevFactor visibility.</w:t>
      </w:r>
    </w:p>
    <w:p>
      <w:pPr>
        <w:spacing w:before="280" w:after="80"/>
      </w:pPr>
      <w:r>
        <w:rPr>
          <w:b/>
          <w:sz w:val="26"/>
        </w:rPr>
        <w:t>Section 6: The Four Pillars of STR Revenue Management (Framework 1)</w:t>
      </w:r>
    </w:p>
    <w:p>
      <w:pPr>
        <w:pStyle w:val="ListBullet"/>
        <w:spacing w:after="40"/>
        <w:ind w:left="360"/>
      </w:pPr>
      <w:r>
        <w:rPr>
          <w:b/>
          <w:sz w:val="22"/>
        </w:rPr>
        <w:t>Format:</w:t>
      </w:r>
      <w:r>
        <w:rPr>
          <w:sz w:val="22"/>
        </w:rPr>
        <w:t xml:space="preserve"> Four sub-sections with H3 headers</w:t>
      </w:r>
    </w:p>
    <w:p>
      <w:pPr>
        <w:pStyle w:val="ListBullet"/>
        <w:spacing w:after="40"/>
        <w:ind w:left="360"/>
      </w:pPr>
      <w:r>
        <w:rPr>
          <w:b/>
          <w:sz w:val="22"/>
        </w:rPr>
        <w:t>Content:</w:t>
      </w:r>
      <w:r>
        <w:rPr>
          <w:sz w:val="22"/>
        </w:rPr>
        <w:t xml:space="preserve"> Introduces the operational framework that the rest of the guide repeatedly returns to, with a dedicated H3 section for each pillar: Historical Data (what to look at and how far back), Inventory Management (minimum stays, LOS rules, calendar controls), Forecasting (booking-pace reading and event-driven adjustment), and Pricing Strategy (the visible output that only makes sense in context of the first three). The Inventory Management pillar carries the Fort Worth studio apartment case study, where dropping weekend minimum stays and layering LOS discounts produced $20,000 more revenue year-over-year on the same property.</w:t>
      </w:r>
    </w:p>
    <w:p>
      <w:pPr>
        <w:pStyle w:val="ListBullet"/>
        <w:spacing w:after="40"/>
        <w:ind w:left="360"/>
      </w:pPr>
      <w:r>
        <w:rPr>
          <w:b/>
          <w:sz w:val="22"/>
        </w:rPr>
        <w:t>Purpose:</w:t>
      </w:r>
      <w:r>
        <w:rPr>
          <w:sz w:val="22"/>
        </w:rPr>
        <w:t xml:space="preserve"> Federico's signature operational framework establishes thought leadership</w:t>
      </w:r>
    </w:p>
    <w:p>
      <w:pPr>
        <w:spacing w:before="160" w:after="40"/>
        <w:ind w:left="216"/>
        <w:pBdr>
          <w:left w:val="single" w:sz="24" w:space="8" w:color="1A4FBF"/>
        </w:pBdr>
        <w:shd w:val="clear" w:color="auto" w:fill="F0F5FF"/>
      </w:pPr>
      <w:r>
        <w:rPr>
          <w:rFonts w:ascii="Helvetica" w:hAnsi="Helvetica"/>
          <w:b/>
          <w:color w:val="0A2E80"/>
          <w:sz w:val="18"/>
        </w:rPr>
        <w:t>FEEDBACK — SECTION 6 + 7 framework ordering</w:t>
      </w:r>
    </w:p>
    <w:p>
      <w:pPr>
        <w:spacing w:after="80"/>
        <w:ind w:left="216"/>
        <w:pBdr>
          <w:left w:val="single" w:sz="24" w:space="8" w:color="1A4FBF"/>
        </w:pBdr>
        <w:shd w:val="clear" w:color="auto" w:fill="F0F5FF"/>
      </w:pPr>
      <w:r>
        <w:rPr>
          <w:rFonts w:ascii="Helvetica" w:hAnsi="Helvetica"/>
          <w:color w:val="1A4FBF"/>
          <w:sz w:val="21"/>
        </w:rPr>
        <w:t>Per Federico's persona guide AND Onboarding §1.3, his actual signature framework is layered:</w:t>
      </w:r>
    </w:p>
    <w:p>
      <w:pPr>
        <w:pStyle w:val="ListBullet"/>
        <w:spacing w:after="40"/>
        <w:ind w:left="576"/>
        <w:pBdr>
          <w:left w:val="single" w:sz="24" w:space="8" w:color="1A4FBF"/>
        </w:pBdr>
        <w:shd w:val="clear" w:color="auto" w:fill="F0F5FF"/>
      </w:pPr>
      <w:r>
        <w:rPr>
          <w:rFonts w:ascii="Helvetica" w:hAnsi="Helvetica"/>
          <w:b/>
          <w:color w:val="1A4FBF"/>
          <w:sz w:val="21"/>
        </w:rPr>
        <w:t>Framework 1 — Strategic Philosophy:</w:t>
      </w:r>
      <w:r>
        <w:rPr>
          <w:rFonts w:ascii="Helvetica" w:hAnsi="Helvetica"/>
          <w:color w:val="1A4FBF"/>
          <w:sz w:val="21"/>
        </w:rPr>
        <w:t xml:space="preserve"> Interest + Reliability + Positioning (currently Section 7 in this outline)</w:t>
      </w:r>
    </w:p>
    <w:p>
      <w:pPr>
        <w:pStyle w:val="ListBullet"/>
        <w:spacing w:after="40"/>
        <w:ind w:left="576"/>
        <w:pBdr>
          <w:left w:val="single" w:sz="24" w:space="8" w:color="1A4FBF"/>
        </w:pBdr>
        <w:shd w:val="clear" w:color="auto" w:fill="F0F5FF"/>
      </w:pPr>
      <w:r>
        <w:rPr>
          <w:rFonts w:ascii="Helvetica" w:hAnsi="Helvetica"/>
          <w:b/>
          <w:color w:val="1A4FBF"/>
          <w:sz w:val="21"/>
        </w:rPr>
        <w:t>Framework 2 — Operational Methodology:</w:t>
      </w:r>
      <w:r>
        <w:rPr>
          <w:rFonts w:ascii="Helvetica" w:hAnsi="Helvetica"/>
          <w:color w:val="1A4FBF"/>
          <w:sz w:val="21"/>
        </w:rPr>
        <w:t xml:space="preserve"> the Four Pillars — Historical Data / Inventory / Forecasting / Pricing (currently Section 6)</w:t>
      </w:r>
    </w:p>
    <w:p>
      <w:pPr>
        <w:spacing w:after="80"/>
        <w:ind w:left="216"/>
        <w:pBdr>
          <w:left w:val="single" w:sz="24" w:space="8" w:color="1A4FBF"/>
        </w:pBdr>
        <w:shd w:val="clear" w:color="auto" w:fill="F0F5FF"/>
      </w:pPr>
      <w:r>
        <w:rPr>
          <w:rFonts w:ascii="Helvetica" w:hAnsi="Helvetica"/>
          <w:b/>
          <w:color w:val="1A4FBF"/>
          <w:sz w:val="21"/>
        </w:rPr>
        <w:t xml:space="preserve">The outline has them in the wrong order. </w:t>
      </w:r>
      <w:r>
        <w:rPr>
          <w:rFonts w:ascii="Helvetica" w:hAnsi="Helvetica"/>
          <w:b w:val="0"/>
          <w:color w:val="1A4FBF"/>
          <w:sz w:val="21"/>
        </w:rPr>
        <w:t>Federico's signature is the Three Pillars; the Four Operational Pillars are the execution layer below it. Reorder so the strategic frame comes first, with explicit framing: "These three pillars are how we think about revenue. Below the strategy sits the operational discipline — four day-to-day inputs that translate the strategy into action."</w:t>
      </w:r>
    </w:p>
    <w:p>
      <w:pPr>
        <w:pStyle w:val="ListBullet"/>
        <w:spacing w:after="40"/>
        <w:ind w:left="576"/>
        <w:pBdr>
          <w:left w:val="single" w:sz="24" w:space="8" w:color="1A4FBF"/>
        </w:pBdr>
        <w:shd w:val="clear" w:color="auto" w:fill="F0F5FF"/>
      </w:pPr>
      <w:r>
        <w:rPr>
          <w:rFonts w:ascii="Helvetica" w:hAnsi="Helvetica"/>
          <w:b/>
          <w:color w:val="1A4FBF"/>
          <w:sz w:val="21"/>
        </w:rPr>
        <w:t>Fort Worth $20K case study verified</w:t>
      </w:r>
      <w:r>
        <w:rPr>
          <w:rFonts w:ascii="Helvetica" w:hAnsi="Helvetica"/>
          <w:color w:val="1A4FBF"/>
          <w:sz w:val="21"/>
        </w:rPr>
        <w:t xml:space="preserve"> (Onboarding §4.2 sources it to No Vacancy Ep 155, downtown Fort Worth studio apartments, 7-night minimum → 1-night weekend minimum + LOS discounts). OK to publish — but include the date range explicitly so the case is concrete and bound.</w:t>
      </w:r>
    </w:p>
    <w:p>
      <w:pPr>
        <w:spacing w:before="280" w:after="80"/>
      </w:pPr>
      <w:r>
        <w:rPr>
          <w:b/>
          <w:sz w:val="26"/>
        </w:rPr>
        <w:t>Section 7: Interest + Reliability + Positioning</w:t>
      </w:r>
    </w:p>
    <w:p>
      <w:pPr>
        <w:pStyle w:val="ListBullet"/>
        <w:spacing w:after="40"/>
        <w:ind w:left="360"/>
      </w:pPr>
      <w:r>
        <w:rPr>
          <w:b/>
          <w:sz w:val="22"/>
        </w:rPr>
        <w:t>Format:</w:t>
      </w:r>
      <w:r>
        <w:rPr>
          <w:sz w:val="22"/>
        </w:rPr>
        <w:t xml:space="preserve"> Three sub-sections with H3 headers</w:t>
      </w:r>
    </w:p>
    <w:p>
      <w:pPr>
        <w:pStyle w:val="ListBullet"/>
        <w:spacing w:after="40"/>
        <w:ind w:left="360"/>
      </w:pPr>
      <w:r>
        <w:rPr>
          <w:b/>
          <w:sz w:val="22"/>
        </w:rPr>
        <w:t>Content:</w:t>
      </w:r>
      <w:r>
        <w:rPr>
          <w:sz w:val="22"/>
        </w:rPr>
        <w:t xml:space="preserve"> Layers a strategic philosophy on top of the operational framework, drawn directly from airline yield management. The three sub-sections cover Interest (the listing-quality factors that drive conversion photos, title, amenities, reviews, perceived value), Reliability (review velocity, algorithm trust, and the discipline of a new-listing launch period), and Positioning (the daily exercise of placing the property correctly within the competitive set rather than reasoning from the host's own ROI).</w:t>
      </w:r>
    </w:p>
    <w:p>
      <w:pPr>
        <w:pStyle w:val="ListBullet"/>
        <w:spacing w:after="40"/>
        <w:ind w:left="360"/>
      </w:pPr>
      <w:r>
        <w:rPr>
          <w:b/>
          <w:sz w:val="22"/>
        </w:rPr>
        <w:t>Purpose:</w:t>
      </w:r>
      <w:r>
        <w:rPr>
          <w:sz w:val="22"/>
        </w:rPr>
        <w:t xml:space="preserve"> "Why it works" layer; reinforces airline pedigree, differentiator</w:t>
      </w:r>
    </w:p>
    <w:p>
      <w:pPr>
        <w:spacing w:before="160" w:after="40"/>
        <w:ind w:left="216"/>
        <w:pBdr>
          <w:left w:val="single" w:sz="24" w:space="8" w:color="1A4FBF"/>
        </w:pBdr>
        <w:shd w:val="clear" w:color="auto" w:fill="F0F5FF"/>
      </w:pPr>
      <w:r>
        <w:rPr>
          <w:rFonts w:ascii="Helvetica" w:hAnsi="Helvetica"/>
          <w:b/>
          <w:color w:val="0A2E80"/>
          <w:sz w:val="18"/>
        </w:rPr>
        <w:t>FEEDBACK — SECTION 7</w:t>
      </w:r>
    </w:p>
    <w:p>
      <w:pPr>
        <w:spacing w:after="80"/>
        <w:ind w:left="216"/>
        <w:pBdr>
          <w:left w:val="single" w:sz="24" w:space="8" w:color="1A4FBF"/>
        </w:pBdr>
        <w:shd w:val="clear" w:color="auto" w:fill="F0F5FF"/>
      </w:pPr>
      <w:r>
        <w:rPr>
          <w:rFonts w:ascii="Helvetica" w:hAnsi="Helvetica"/>
          <w:b w:val="0"/>
          <w:color w:val="1A4FBF"/>
          <w:sz w:val="21"/>
        </w:rPr>
        <w:t xml:space="preserve">This is Federico's signature framework per the persona guide. </w:t>
      </w:r>
      <w:r>
        <w:rPr>
          <w:rFonts w:ascii="Helvetica" w:hAnsi="Helvetica"/>
          <w:b/>
          <w:color w:val="1A4FBF"/>
          <w:sz w:val="21"/>
        </w:rPr>
        <w:t xml:space="preserve">Promote to Section 6 </w:t>
      </w:r>
      <w:r>
        <w:rPr>
          <w:rFonts w:ascii="Helvetica" w:hAnsi="Helvetica"/>
          <w:b w:val="0"/>
          <w:color w:val="1A4FBF"/>
          <w:sz w:val="21"/>
        </w:rPr>
        <w:t>(see note above). Keep content as-is; just reframe position.</w:t>
      </w:r>
    </w:p>
    <w:p>
      <w:pPr>
        <w:spacing w:before="280" w:after="80"/>
      </w:pPr>
      <w:r>
        <w:rPr>
          <w:b/>
          <w:sz w:val="26"/>
        </w:rPr>
        <w:t>Section 8: ADR vs. RevPAR</w:t>
      </w:r>
    </w:p>
    <w:p>
      <w:pPr>
        <w:pStyle w:val="ListBullet"/>
        <w:spacing w:after="40"/>
        <w:ind w:left="360"/>
      </w:pPr>
      <w:r>
        <w:rPr>
          <w:b/>
          <w:sz w:val="22"/>
        </w:rPr>
        <w:t>Format:</w:t>
      </w:r>
      <w:r>
        <w:rPr>
          <w:sz w:val="22"/>
        </w:rPr>
        <w:t xml:space="preserve"> Worked numerical example + comparison table</w:t>
      </w:r>
    </w:p>
    <w:p>
      <w:pPr>
        <w:pStyle w:val="ListBullet"/>
        <w:spacing w:after="40"/>
        <w:ind w:left="360"/>
      </w:pPr>
      <w:r>
        <w:rPr>
          <w:b/>
          <w:sz w:val="22"/>
        </w:rPr>
        <w:t>Content:</w:t>
      </w:r>
      <w:r>
        <w:rPr>
          <w:sz w:val="22"/>
        </w:rPr>
        <w:t xml:space="preserve"> Opens with a worked two-property example, Property A at 70% occupancy and a $200 ADR versus Property B at 50% occupancy and a $300 ADR, and shows that Property B wins by $3,650 a year despite looking less successful on the surface. A three-row comparison table breaks down what each metric reveals and what each metric hides, and the section closes with the case for tracking RevPAR against the comp set as the only honest scoreboard.</w:t>
      </w:r>
    </w:p>
    <w:p>
      <w:pPr>
        <w:pStyle w:val="ListBullet"/>
        <w:spacing w:after="40"/>
        <w:ind w:left="360"/>
      </w:pPr>
      <w:r>
        <w:rPr>
          <w:b/>
          <w:sz w:val="22"/>
        </w:rPr>
        <w:t>Purpose:</w:t>
      </w:r>
      <w:r>
        <w:rPr>
          <w:sz w:val="22"/>
        </w:rPr>
        <w:t xml:space="preserve"> High-search-volume topic; directly addresses Federico's core teaching</w:t>
      </w:r>
    </w:p>
    <w:p>
      <w:pPr>
        <w:spacing w:before="160" w:after="40"/>
        <w:ind w:left="216"/>
        <w:pBdr>
          <w:left w:val="single" w:sz="24" w:space="8" w:color="1A4FBF"/>
        </w:pBdr>
        <w:shd w:val="clear" w:color="auto" w:fill="F0F5FF"/>
      </w:pPr>
      <w:r>
        <w:rPr>
          <w:rFonts w:ascii="Helvetica" w:hAnsi="Helvetica"/>
          <w:b/>
          <w:color w:val="0A2E80"/>
          <w:sz w:val="18"/>
        </w:rPr>
        <w:t>FEEDBACK — SECTION 8</w:t>
      </w:r>
    </w:p>
    <w:p>
      <w:pPr>
        <w:pStyle w:val="ListBullet"/>
        <w:spacing w:after="40"/>
        <w:ind w:left="576"/>
        <w:pBdr>
          <w:left w:val="single" w:sz="24" w:space="8" w:color="1A4FBF"/>
        </w:pBdr>
        <w:shd w:val="clear" w:color="auto" w:fill="F0F5FF"/>
      </w:pPr>
      <w:r>
        <w:rPr>
          <w:rFonts w:ascii="Helvetica" w:hAnsi="Helvetica"/>
          <w:b/>
          <w:color w:val="1A4FBF"/>
          <w:sz w:val="21"/>
        </w:rPr>
        <w:t>"High-search-volume" claim is overstated.</w:t>
      </w:r>
      <w:r>
        <w:rPr>
          <w:rFonts w:ascii="Helvetica" w:hAnsi="Helvetica"/>
          <w:color w:val="1A4FBF"/>
          <w:sz w:val="21"/>
        </w:rPr>
        <w:t xml:space="preserve"> "revpar airbnb" sits at volume 30, not high. Keep this section for AEO (citable worked-example) — not for organic traffic.</w:t>
      </w:r>
    </w:p>
    <w:p>
      <w:pPr>
        <w:pStyle w:val="ListBullet"/>
        <w:spacing w:after="40"/>
        <w:ind w:left="576"/>
        <w:pBdr>
          <w:left w:val="single" w:sz="24" w:space="8" w:color="1A4FBF"/>
        </w:pBdr>
        <w:shd w:val="clear" w:color="auto" w:fill="F0F5FF"/>
      </w:pPr>
      <w:r>
        <w:rPr>
          <w:rFonts w:ascii="Helvetica" w:hAnsi="Helvetica"/>
          <w:b/>
          <w:color w:val="1A4FBF"/>
          <w:sz w:val="21"/>
        </w:rPr>
        <w:t>Worked example math:</w:t>
      </w:r>
      <w:r>
        <w:rPr>
          <w:rFonts w:ascii="Helvetica" w:hAnsi="Helvetica"/>
          <w:color w:val="1A4FBF"/>
          <w:sz w:val="21"/>
        </w:rPr>
        <w:t xml:space="preserve"> $200 × 0.70 × 365 = $51,100 RevPAR/yr; $300 × 0.50 × 365 = $54,750. Difference = $3,650 ✓ math checks. Show the math inline — citation jewel for ChatGPT.</w:t>
      </w:r>
    </w:p>
    <w:p>
      <w:pPr>
        <w:pStyle w:val="ListBullet"/>
        <w:spacing w:after="40"/>
        <w:ind w:left="576"/>
        <w:pBdr>
          <w:left w:val="single" w:sz="24" w:space="8" w:color="1A4FBF"/>
        </w:pBdr>
        <w:shd w:val="clear" w:color="auto" w:fill="F0F5FF"/>
      </w:pPr>
      <w:r>
        <w:rPr>
          <w:rFonts w:ascii="Helvetica" w:hAnsi="Helvetica"/>
          <w:b/>
          <w:color w:val="1A4FBF"/>
          <w:sz w:val="21"/>
        </w:rPr>
        <w:t>Add a "what RevPAR doesn't capture"</w:t>
      </w:r>
      <w:r>
        <w:rPr>
          <w:rFonts w:ascii="Helvetica" w:hAnsi="Helvetica"/>
          <w:color w:val="1A4FBF"/>
          <w:sz w:val="21"/>
        </w:rPr>
        <w:t xml:space="preserve"> caveat (cleaning costs, channel fees) — pre-empts the obvious counter-question and prevents an LLM from citing the section without the disclaimer.</w:t>
      </w:r>
    </w:p>
    <w:p>
      <w:pPr>
        <w:spacing w:before="280" w:after="80"/>
      </w:pPr>
      <w:r>
        <w:rPr>
          <w:b/>
          <w:sz w:val="26"/>
        </w:rPr>
        <w:t>Section 9: The 6 Most Common STR Pricing Mistakes</w:t>
      </w:r>
    </w:p>
    <w:p>
      <w:pPr>
        <w:pStyle w:val="ListBullet"/>
        <w:spacing w:after="40"/>
        <w:ind w:left="360"/>
      </w:pPr>
      <w:r>
        <w:rPr>
          <w:b/>
          <w:sz w:val="22"/>
        </w:rPr>
        <w:t>Format:</w:t>
      </w:r>
      <w:r>
        <w:rPr>
          <w:sz w:val="22"/>
        </w:rPr>
        <w:t xml:space="preserve"> Numbered list with H3 sub-headers</w:t>
      </w:r>
    </w:p>
    <w:p>
      <w:pPr>
        <w:pStyle w:val="ListBullet"/>
        <w:spacing w:after="40"/>
        <w:ind w:left="360"/>
      </w:pPr>
      <w:r>
        <w:rPr>
          <w:b/>
          <w:sz w:val="22"/>
        </w:rPr>
        <w:t>Content:</w:t>
      </w:r>
      <w:r>
        <w:rPr>
          <w:sz w:val="22"/>
        </w:rPr>
        <w:t xml:space="preserve"> A diagnostic section the reader uses to self-identify problems in their own portfolio: pricing from the inside out, set-and-forget tool reliance, ignoring shoulder seasons, racing to the bottom on rate, treating minimum stays as a single static setting, and not understanding pacing as a leading indicator. Includes the Nashville case study, where a property tracking $4,200 in early May against $15,900 the prior year was turned around with aggressive shoulder-season pricing and last-minute capture to finish the month 25% ahead year-over-year.</w:t>
      </w:r>
    </w:p>
    <w:p>
      <w:pPr>
        <w:pStyle w:val="ListBullet"/>
        <w:spacing w:after="40"/>
        <w:ind w:left="360"/>
      </w:pPr>
      <w:r>
        <w:rPr>
          <w:b/>
          <w:sz w:val="22"/>
        </w:rPr>
        <w:t>Purpose:</w:t>
      </w:r>
      <w:r>
        <w:rPr>
          <w:sz w:val="22"/>
        </w:rPr>
        <w:t xml:space="preserve"> Diagnostic section readers self-identify problems, build trust</w:t>
      </w:r>
    </w:p>
    <w:p>
      <w:pPr>
        <w:spacing w:before="160" w:after="40"/>
        <w:ind w:left="216"/>
        <w:pBdr>
          <w:left w:val="single" w:sz="24" w:space="8" w:color="1A4FBF"/>
        </w:pBdr>
        <w:shd w:val="clear" w:color="auto" w:fill="F0F5FF"/>
      </w:pPr>
      <w:r>
        <w:rPr>
          <w:rFonts w:ascii="Helvetica" w:hAnsi="Helvetica"/>
          <w:b/>
          <w:color w:val="0A2E80"/>
          <w:sz w:val="18"/>
        </w:rPr>
        <w:t>FEEDBACK — SECTION 9</w:t>
      </w:r>
    </w:p>
    <w:p>
      <w:pPr>
        <w:pStyle w:val="ListBullet"/>
        <w:spacing w:after="40"/>
        <w:ind w:left="576"/>
        <w:pBdr>
          <w:left w:val="single" w:sz="24" w:space="8" w:color="1A4FBF"/>
        </w:pBdr>
        <w:shd w:val="clear" w:color="auto" w:fill="F0F5FF"/>
      </w:pPr>
      <w:r>
        <w:rPr>
          <w:rFonts w:ascii="Helvetica" w:hAnsi="Helvetica"/>
          <w:b/>
          <w:color w:val="1A4FBF"/>
          <w:sz w:val="21"/>
        </w:rPr>
        <w:t>Strong diagnostic structure.</w:t>
      </w:r>
      <w:r>
        <w:rPr>
          <w:rFonts w:ascii="Helvetica" w:hAnsi="Helvetica"/>
          <w:color w:val="1A4FBF"/>
          <w:sz w:val="21"/>
        </w:rPr>
        <w:t xml:space="preserve"> Maps cleanly to the Peec prompt "what is the best pricing strategy for airbnb hosts" (volume tier 4, 0% RevFactor visibility).</w:t>
      </w:r>
    </w:p>
    <w:p>
      <w:pPr>
        <w:pStyle w:val="ListBullet"/>
        <w:spacing w:after="40"/>
        <w:ind w:left="576"/>
        <w:pBdr>
          <w:left w:val="single" w:sz="24" w:space="8" w:color="1A4FBF"/>
        </w:pBdr>
        <w:shd w:val="clear" w:color="auto" w:fill="F0F5FF"/>
      </w:pPr>
      <w:r>
        <w:rPr>
          <w:rFonts w:ascii="Helvetica" w:hAnsi="Helvetica"/>
          <w:b/>
          <w:color w:val="1A4FBF"/>
          <w:sz w:val="21"/>
        </w:rPr>
        <w:t>Nashville case study verified</w:t>
      </w:r>
      <w:r>
        <w:rPr>
          <w:rFonts w:ascii="Helvetica" w:hAnsi="Helvetica"/>
          <w:color w:val="1A4FBF"/>
          <w:sz w:val="21"/>
        </w:rPr>
        <w:t xml:space="preserve"> (Onboarding §4.2 sources it to No Vacancy Ep 155). OK to publish — include date range and any property-type detail Federico is comfortable releasing.</w:t>
      </w:r>
    </w:p>
    <w:p>
      <w:pPr>
        <w:pStyle w:val="ListBullet"/>
        <w:spacing w:after="40"/>
        <w:ind w:left="576"/>
        <w:pBdr>
          <w:left w:val="single" w:sz="24" w:space="8" w:color="1A4FBF"/>
        </w:pBdr>
        <w:shd w:val="clear" w:color="auto" w:fill="F0F5FF"/>
      </w:pPr>
      <w:r>
        <w:rPr>
          <w:rFonts w:ascii="Helvetica" w:hAnsi="Helvetica"/>
          <w:b/>
          <w:color w:val="1A4FBF"/>
          <w:sz w:val="21"/>
        </w:rPr>
        <w:t>Consider 7 mistakes, not 6.</w:t>
      </w:r>
      <w:r>
        <w:rPr>
          <w:rFonts w:ascii="Helvetica" w:hAnsi="Helvetica"/>
          <w:color w:val="1A4FBF"/>
          <w:sz w:val="21"/>
        </w:rPr>
        <w:t xml:space="preserve"> Add: "Treating each property identically across the portfolio." Maps to multi-property Peec prompts (#37, #44, #67) which together represent meaningful AI volume.</w:t>
      </w:r>
    </w:p>
    <w:p>
      <w:pPr>
        <w:spacing w:before="280" w:after="80"/>
      </w:pPr>
      <w:r>
        <w:rPr>
          <w:b/>
          <w:sz w:val="26"/>
        </w:rPr>
        <w:t>Section 10: The Tactical Playbook</w:t>
      </w:r>
    </w:p>
    <w:p>
      <w:pPr>
        <w:pStyle w:val="ListBullet"/>
        <w:spacing w:after="40"/>
        <w:ind w:left="360"/>
      </w:pPr>
      <w:r>
        <w:rPr>
          <w:b/>
          <w:sz w:val="22"/>
        </w:rPr>
        <w:t>Format:</w:t>
      </w:r>
      <w:r>
        <w:rPr>
          <w:sz w:val="22"/>
        </w:rPr>
        <w:t xml:space="preserve"> Five named plays with H3 sub-headers</w:t>
      </w:r>
    </w:p>
    <w:p>
      <w:pPr>
        <w:pStyle w:val="ListBullet"/>
        <w:spacing w:after="40"/>
        <w:ind w:left="360"/>
      </w:pPr>
      <w:r>
        <w:rPr>
          <w:b/>
          <w:sz w:val="22"/>
        </w:rPr>
        <w:t>Content:</w:t>
      </w:r>
      <w:r>
        <w:rPr>
          <w:sz w:val="22"/>
        </w:rPr>
        <w:t xml:space="preserve"> Five immediately actionable plays pulled directly from Federico's daily portfolio operations: the Long Weekend Strategy (premium weekend rates paired with tiered LOS discounts), Gap Filling (conditional discounts that only trigger when a gap night is booked inside a longer stay), Length-of-Stay Discounts (the airline-style discount ladder that rewards the stays you actually want), Minimum Stay as a Competitive Weapon (with the Newport Beach example, where a 2-night minimum unlocked search visibility competitors with 3-night rules were excluded from), and New Listing Launch Pricing (the deliberate 30–60 day below-market window built for review velocity rather than revenue).</w:t>
      </w:r>
    </w:p>
    <w:p>
      <w:pPr>
        <w:pStyle w:val="ListBullet"/>
        <w:spacing w:after="40"/>
        <w:ind w:left="360"/>
      </w:pPr>
      <w:r>
        <w:rPr>
          <w:b/>
          <w:sz w:val="22"/>
        </w:rPr>
        <w:t>Purpose:</w:t>
      </w:r>
      <w:r>
        <w:rPr>
          <w:sz w:val="22"/>
        </w:rPr>
        <w:t xml:space="preserve"> Actionable, immediately useful tactics from Federico's transcripts</w:t>
      </w:r>
    </w:p>
    <w:p>
      <w:pPr>
        <w:spacing w:before="160" w:after="40"/>
        <w:ind w:left="216"/>
        <w:pBdr>
          <w:left w:val="single" w:sz="24" w:space="8" w:color="1A4FBF"/>
        </w:pBdr>
        <w:shd w:val="clear" w:color="auto" w:fill="F0F5FF"/>
      </w:pPr>
      <w:r>
        <w:rPr>
          <w:rFonts w:ascii="Helvetica" w:hAnsi="Helvetica"/>
          <w:b/>
          <w:color w:val="0A2E80"/>
          <w:sz w:val="18"/>
        </w:rPr>
        <w:t>FEEDBACK — SECTION 10</w:t>
      </w:r>
    </w:p>
    <w:p>
      <w:pPr>
        <w:pStyle w:val="ListBullet"/>
        <w:spacing w:after="40"/>
        <w:ind w:left="576"/>
        <w:pBdr>
          <w:left w:val="single" w:sz="24" w:space="8" w:color="1A4FBF"/>
        </w:pBdr>
        <w:shd w:val="clear" w:color="auto" w:fill="F0F5FF"/>
      </w:pPr>
      <w:r>
        <w:rPr>
          <w:rFonts w:ascii="Helvetica" w:hAnsi="Helvetica"/>
          <w:b/>
          <w:color w:val="1A4FBF"/>
          <w:sz w:val="21"/>
        </w:rPr>
        <w:t>Best section in the outline.</w:t>
      </w:r>
      <w:r>
        <w:rPr>
          <w:rFonts w:ascii="Helvetica" w:hAnsi="Helvetica"/>
          <w:color w:val="1A4FBF"/>
          <w:sz w:val="21"/>
        </w:rPr>
        <w:t xml:space="preserve"> Five named plays with H3 sub-headers is exactly the format Perplexity and Claude lift verbatim. Don't shorten.</w:t>
      </w:r>
    </w:p>
    <w:p>
      <w:pPr>
        <w:pStyle w:val="ListBullet"/>
        <w:spacing w:after="40"/>
        <w:ind w:left="576"/>
        <w:pBdr>
          <w:left w:val="single" w:sz="24" w:space="8" w:color="1A4FBF"/>
        </w:pBdr>
        <w:shd w:val="clear" w:color="auto" w:fill="F0F5FF"/>
      </w:pPr>
      <w:r>
        <w:rPr>
          <w:rFonts w:ascii="Helvetica" w:hAnsi="Helvetica"/>
          <w:b/>
          <w:color w:val="1A4FBF"/>
          <w:sz w:val="21"/>
        </w:rPr>
        <w:t>Add HowTo schema</w:t>
      </w:r>
      <w:r>
        <w:rPr>
          <w:rFonts w:ascii="Helvetica" w:hAnsi="Helvetica"/>
          <w:color w:val="1A4FBF"/>
          <w:sz w:val="21"/>
        </w:rPr>
        <w:t xml:space="preserve"> to each play. Each has clear Step 1 / Step 2 / Step 3 logic — wrap in HowTo JSON-LD and you 2–3× the AEO citation surface.</w:t>
      </w:r>
    </w:p>
    <w:p>
      <w:pPr>
        <w:pStyle w:val="ListBullet"/>
        <w:spacing w:after="40"/>
        <w:ind w:left="576"/>
        <w:pBdr>
          <w:left w:val="single" w:sz="24" w:space="8" w:color="1A4FBF"/>
        </w:pBdr>
        <w:shd w:val="clear" w:color="auto" w:fill="F0F5FF"/>
      </w:pPr>
      <w:r>
        <w:rPr>
          <w:rFonts w:ascii="Helvetica" w:hAnsi="Helvetica"/>
          <w:b/>
          <w:color w:val="1A4FBF"/>
          <w:sz w:val="21"/>
        </w:rPr>
        <w:t>Add a 6th play: "PMS-aligned Strategy."</w:t>
      </w:r>
      <w:r>
        <w:rPr>
          <w:rFonts w:ascii="Helvetica" w:hAnsi="Helvetica"/>
          <w:color w:val="1A4FBF"/>
          <w:sz w:val="21"/>
        </w:rPr>
        <w:t xml:space="preserve"> Briefly — "set up your pricing tool to read directly from your PMS so calendar gaps trigger automatic LOS adjustments." Catches the Peec multi-platform prompts and the POP-flagged PMS term.</w:t>
      </w:r>
    </w:p>
    <w:p>
      <w:pPr>
        <w:pStyle w:val="ListBullet"/>
        <w:spacing w:after="40"/>
        <w:ind w:left="576"/>
        <w:pBdr>
          <w:left w:val="single" w:sz="24" w:space="8" w:color="1A4FBF"/>
        </w:pBdr>
        <w:shd w:val="clear" w:color="auto" w:fill="F0F5FF"/>
      </w:pPr>
      <w:r>
        <w:rPr>
          <w:rFonts w:ascii="Helvetica" w:hAnsi="Helvetica"/>
          <w:b/>
          <w:color w:val="1A4FBF"/>
          <w:sz w:val="21"/>
        </w:rPr>
        <w:t>Length-of-stay discount ladder needs the worked math.</w:t>
      </w:r>
      <w:r>
        <w:rPr>
          <w:rFonts w:ascii="Helvetica" w:hAnsi="Helvetica"/>
          <w:color w:val="1A4FBF"/>
          <w:sz w:val="21"/>
        </w:rPr>
        <w:t xml:space="preserve"> Federico's actual numbers per Onboarding §1.2: 3 nights = 10% off, 4 nights = 20% off weekends. Show as a small table — that kind of artifact ChatGPT cites verbatim.</w:t>
      </w:r>
    </w:p>
    <w:p>
      <w:pPr>
        <w:pStyle w:val="ListBullet"/>
        <w:spacing w:after="40"/>
        <w:ind w:left="576"/>
        <w:pBdr>
          <w:left w:val="single" w:sz="24" w:space="8" w:color="1A4FBF"/>
        </w:pBdr>
        <w:shd w:val="clear" w:color="auto" w:fill="F0F5FF"/>
      </w:pPr>
      <w:r>
        <w:rPr>
          <w:rFonts w:ascii="Helvetica" w:hAnsi="Helvetica"/>
          <w:b/>
          <w:color w:val="1A4FBF"/>
          <w:sz w:val="21"/>
        </w:rPr>
        <w:t>Newport Beach case study verified</w:t>
      </w:r>
      <w:r>
        <w:rPr>
          <w:rFonts w:ascii="Helvetica" w:hAnsi="Helvetica"/>
          <w:color w:val="1A4FBF"/>
          <w:sz w:val="21"/>
        </w:rPr>
        <w:t xml:space="preserve"> (Onboarding §4.2 — competing market had 3-night minimum standard, RevFactor set 2-night minimum, only 12 listings showed 2-night availability, captured a 4-night premium booking).</w:t>
      </w:r>
    </w:p>
    <w:p>
      <w:pPr>
        <w:spacing w:before="280" w:after="80"/>
      </w:pPr>
      <w:r>
        <w:rPr>
          <w:b/>
          <w:sz w:val="26"/>
        </w:rPr>
        <w:t>Section 11: How to Know If Your Revenue Management Is Working</w:t>
      </w:r>
    </w:p>
    <w:p>
      <w:pPr>
        <w:pStyle w:val="ListBullet"/>
        <w:spacing w:after="40"/>
        <w:ind w:left="360"/>
      </w:pPr>
      <w:r>
        <w:rPr>
          <w:b/>
          <w:sz w:val="22"/>
        </w:rPr>
        <w:t>Format:</w:t>
      </w:r>
      <w:r>
        <w:rPr>
          <w:sz w:val="22"/>
        </w:rPr>
        <w:t xml:space="preserve"> Three numbered metrics + scorecard list</w:t>
      </w:r>
    </w:p>
    <w:p>
      <w:pPr>
        <w:pStyle w:val="ListBullet"/>
        <w:spacing w:after="40"/>
        <w:ind w:left="360"/>
      </w:pPr>
      <w:r>
        <w:rPr>
          <w:b/>
          <w:sz w:val="22"/>
        </w:rPr>
        <w:t>Content:</w:t>
      </w:r>
      <w:r>
        <w:rPr>
          <w:sz w:val="22"/>
        </w:rPr>
        <w:t xml:space="preserve"> Reduces performance evaluation to three numbers tracked monthly: RevPAR vs. comp set, pacing vs. last year at 30/60/90 days out, and occupancy at the target rate (not just raw occupancy at any rate). The section closes with an organic introduction of RevFactor's internal scorecard Market Position Score, Pricing Health Index, and Revenue vs. Comp Set framed as proprietary internal frameworks rather than industry-standard metrics.</w:t>
      </w:r>
    </w:p>
    <w:p>
      <w:pPr>
        <w:pStyle w:val="ListBullet"/>
        <w:spacing w:after="40"/>
        <w:ind w:left="360"/>
      </w:pPr>
      <w:r>
        <w:rPr>
          <w:b/>
          <w:sz w:val="22"/>
        </w:rPr>
        <w:t>Purpose:</w:t>
      </w:r>
      <w:r>
        <w:rPr>
          <w:sz w:val="22"/>
        </w:rPr>
        <w:t xml:space="preserve"> Self-assessment tool; organic introduction of proprietary metrics</w:t>
      </w:r>
    </w:p>
    <w:p>
      <w:pPr>
        <w:spacing w:before="160" w:after="40"/>
        <w:ind w:left="216"/>
        <w:pBdr>
          <w:left w:val="single" w:sz="24" w:space="8" w:color="1A4FBF"/>
        </w:pBdr>
        <w:shd w:val="clear" w:color="auto" w:fill="F0F5FF"/>
      </w:pPr>
      <w:r>
        <w:rPr>
          <w:rFonts w:ascii="Helvetica" w:hAnsi="Helvetica"/>
          <w:b/>
          <w:color w:val="0A2E80"/>
          <w:sz w:val="18"/>
        </w:rPr>
        <w:t>FEEDBACK — SECTION 11</w:t>
      </w:r>
    </w:p>
    <w:p>
      <w:pPr>
        <w:pStyle w:val="ListBullet"/>
        <w:spacing w:after="40"/>
        <w:ind w:left="576"/>
        <w:pBdr>
          <w:left w:val="single" w:sz="24" w:space="8" w:color="1A4FBF"/>
        </w:pBdr>
        <w:shd w:val="clear" w:color="auto" w:fill="F0F5FF"/>
      </w:pPr>
      <w:r>
        <w:rPr>
          <w:rFonts w:ascii="Helvetica" w:hAnsi="Helvetica"/>
          <w:b/>
          <w:color w:val="1A4FBF"/>
          <w:sz w:val="21"/>
        </w:rPr>
        <w:t>Proprietary names verified.</w:t>
      </w:r>
      <w:r>
        <w:rPr>
          <w:rFonts w:ascii="Helvetica" w:hAnsi="Helvetica"/>
          <w:color w:val="1A4FBF"/>
          <w:sz w:val="21"/>
        </w:rPr>
        <w:t xml:space="preserve"> Onboarding §1.3 confirms Market Position Score (94/100), Pricing Health Index (A+), Revenue vs Comp Set (+18%) are real metrics live on the RevFactor website (Features.jsx). Safe to publish as named proprietary frameworks.</w:t>
      </w:r>
    </w:p>
    <w:p>
      <w:pPr>
        <w:pStyle w:val="ListBullet"/>
        <w:spacing w:after="40"/>
        <w:ind w:left="576"/>
        <w:pBdr>
          <w:left w:val="single" w:sz="24" w:space="8" w:color="1A4FBF"/>
        </w:pBdr>
        <w:shd w:val="clear" w:color="auto" w:fill="F0F5FF"/>
      </w:pPr>
      <w:r>
        <w:rPr>
          <w:rFonts w:ascii="Helvetica" w:hAnsi="Helvetica"/>
          <w:b/>
          <w:color w:val="1A4FBF"/>
          <w:sz w:val="21"/>
        </w:rPr>
        <w:t>Pacing window numbers.</w:t>
      </w:r>
      <w:r>
        <w:rPr>
          <w:rFonts w:ascii="Helvetica" w:hAnsi="Helvetica"/>
          <w:color w:val="1A4FBF"/>
          <w:sz w:val="21"/>
        </w:rPr>
        <w:t xml:space="preserve"> 30/60/90 is fine. Some STR markets (urban / event-driven) book at much shorter windows — add a one-line note that the right pacing windows depend on the market booking-curve.</w:t>
      </w:r>
    </w:p>
    <w:p>
      <w:pPr>
        <w:spacing w:after="80"/>
        <w:ind w:left="216"/>
        <w:pBdr>
          <w:left w:val="single" w:sz="24" w:space="8" w:color="1A4FBF"/>
        </w:pBdr>
        <w:shd w:val="clear" w:color="auto" w:fill="F0F5FF"/>
      </w:pPr>
      <w:r>
        <w:rPr>
          <w:rFonts w:ascii="Helvetica" w:hAnsi="Helvetica"/>
          <w:b/>
          <w:color w:val="1A4FBF"/>
          <w:sz w:val="21"/>
        </w:rPr>
        <w:t xml:space="preserve">Lift this Federico quote verbatim </w:t>
      </w:r>
      <w:r>
        <w:rPr>
          <w:rFonts w:ascii="Helvetica" w:hAnsi="Helvetica"/>
          <w:b w:val="0"/>
          <w:color w:val="1A4FBF"/>
          <w:sz w:val="21"/>
        </w:rPr>
        <w:t>(from TikTok 7631370726225825042, the most recent piece on pacing — full transcript in /tiktok_videos/transcripts/). Use as a pull-quote at the top of the pacing sub-section. AI engines cite quoted source material at higher rates than paraphrased copy:</w:t>
      </w:r>
    </w:p>
    <w:p>
      <w:pPr>
        <w:spacing w:after="120"/>
        <w:ind w:left="720" w:right="432"/>
        <w:pBdr>
          <w:left w:val="single" w:sz="24" w:space="8" w:color="1A4FBF"/>
        </w:pBdr>
        <w:shd w:val="clear" w:color="auto" w:fill="F0F5FF"/>
      </w:pPr>
      <w:r>
        <w:rPr>
          <w:rFonts w:ascii="Helvetica" w:hAnsi="Helvetica"/>
          <w:i/>
          <w:color w:val="1A4FBF"/>
          <w:sz w:val="22"/>
        </w:rPr>
        <w:t>"Do you want to learn how to price your short-term rental like a professional revenue manager? You need to understand this one particular concept, which is momentum. How the bookings are happening for a particular period of time… When you're looking right now at your calendar in July, you're looking at a frozen, still moment in time, a snapshot, a picture, instead of looking at a whole movie. Especially when you're comparing against last year data… you cannot make decisions without momentum."</w:t>
      </w:r>
    </w:p>
    <w:p>
      <w:pPr>
        <w:spacing w:after="160"/>
        <w:ind w:left="720"/>
        <w:pBdr>
          <w:left w:val="single" w:sz="24" w:space="8" w:color="1A4FBF"/>
        </w:pBdr>
        <w:shd w:val="clear" w:color="auto" w:fill="F0F5FF"/>
      </w:pPr>
      <w:r>
        <w:rPr>
          <w:rFonts w:ascii="Helvetica" w:hAnsi="Helvetica"/>
          <w:b/>
          <w:color w:val="1A4FBF"/>
          <w:sz w:val="19"/>
        </w:rPr>
        <w:t>— Federico Zimerman, TikTok @federicozimerman, April 2026</w:t>
      </w:r>
    </w:p>
    <w:p>
      <w:pPr>
        <w:spacing w:before="280" w:after="80"/>
      </w:pPr>
      <w:r>
        <w:rPr>
          <w:b/>
          <w:sz w:val="26"/>
        </w:rPr>
        <w:t>Section 12: When to DIY vs. Hire a Revenue Manager</w:t>
      </w:r>
    </w:p>
    <w:p>
      <w:pPr>
        <w:pStyle w:val="ListBullet"/>
        <w:spacing w:after="40"/>
        <w:ind w:left="360"/>
      </w:pPr>
      <w:r>
        <w:rPr>
          <w:b/>
          <w:sz w:val="22"/>
        </w:rPr>
        <w:t>Format:</w:t>
      </w:r>
      <w:r>
        <w:rPr>
          <w:sz w:val="22"/>
        </w:rPr>
        <w:t xml:space="preserve"> Bulleted breakdown</w:t>
      </w:r>
    </w:p>
    <w:p>
      <w:pPr>
        <w:pStyle w:val="ListBullet"/>
        <w:spacing w:after="40"/>
        <w:ind w:left="360"/>
      </w:pPr>
      <w:r>
        <w:rPr>
          <w:b/>
          <w:sz w:val="22"/>
        </w:rPr>
        <w:t>Content:</w:t>
      </w:r>
      <w:r>
        <w:rPr>
          <w:sz w:val="22"/>
        </w:rPr>
        <w:t xml:space="preserve"> An honest, non-salesy assessment of where self-management actually works (1–2 properties with a 3–5 hour weekly time investment) and where it predictably breaks down (3+ properties on cognitive load, 5+ properties drifting into set-and-forget by default, or any portfolio entering a market the host doesn't deeply understand). Closes with the opportunity-cost math — when an 8% revenue lift outpaces a 1–2% management fee, the decision is not close.</w:t>
      </w:r>
    </w:p>
    <w:p>
      <w:pPr>
        <w:pStyle w:val="ListBullet"/>
        <w:spacing w:after="40"/>
        <w:ind w:left="360"/>
      </w:pPr>
      <w:r>
        <w:rPr>
          <w:b/>
          <w:sz w:val="22"/>
        </w:rPr>
        <w:t>Purpose:</w:t>
      </w:r>
      <w:r>
        <w:rPr>
          <w:sz w:val="22"/>
        </w:rPr>
        <w:t xml:space="preserve"> Qualifies the right reader for the service section; trust-building</w:t>
      </w:r>
    </w:p>
    <w:p>
      <w:pPr>
        <w:spacing w:before="160" w:after="40"/>
        <w:ind w:left="216"/>
        <w:pBdr>
          <w:left w:val="single" w:sz="24" w:space="8" w:color="1A4FBF"/>
        </w:pBdr>
        <w:shd w:val="clear" w:color="auto" w:fill="F0F5FF"/>
      </w:pPr>
      <w:r>
        <w:rPr>
          <w:rFonts w:ascii="Helvetica" w:hAnsi="Helvetica"/>
          <w:b/>
          <w:color w:val="0A2E80"/>
          <w:sz w:val="18"/>
        </w:rPr>
        <w:t>FEEDBACK — SECTION 12 (PRICING COPY ERROR)</w:t>
      </w:r>
    </w:p>
    <w:p>
      <w:pPr>
        <w:spacing w:after="80"/>
        <w:ind w:left="216"/>
        <w:pBdr>
          <w:left w:val="single" w:sz="24" w:space="8" w:color="1A4FBF"/>
        </w:pBdr>
        <w:shd w:val="clear" w:color="auto" w:fill="F0F5FF"/>
      </w:pPr>
      <w:r>
        <w:rPr>
          <w:rFonts w:ascii="Helvetica" w:hAnsi="Helvetica"/>
          <w:b/>
          <w:color w:val="1A4FBF"/>
          <w:sz w:val="21"/>
        </w:rPr>
        <w:t xml:space="preserve">"1–2% management fee" is wrong. </w:t>
      </w:r>
      <w:r>
        <w:rPr>
          <w:rFonts w:ascii="Helvetica" w:hAnsi="Helvetica"/>
          <w:b w:val="0"/>
          <w:color w:val="1A4FBF"/>
          <w:sz w:val="21"/>
        </w:rPr>
        <w:t>Per Stripe (Onboarding §1.2 confirmed): RevFactor uses a flat fee, not percentage: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shd w:val="clear" w:color="auto" w:fill="E0EAFF"/>
          </w:tcPr>
          <w:p>
            <w:r>
              <w:rPr>
                <w:b/>
                <w:color w:val="0A2E80"/>
                <w:sz w:val="20"/>
              </w:rPr>
              <w:t>Properties</w:t>
            </w:r>
          </w:p>
        </w:tc>
        <w:tc>
          <w:tcPr>
            <w:tcW w:type="dxa" w:w="2340"/>
            <w:shd w:val="clear" w:color="auto" w:fill="E0EAFF"/>
          </w:tcPr>
          <w:p>
            <w:r>
              <w:rPr>
                <w:b/>
                <w:color w:val="0A2E80"/>
                <w:sz w:val="20"/>
              </w:rPr>
              <w:t>Total/mo</w:t>
            </w:r>
          </w:p>
        </w:tc>
        <w:tc>
          <w:tcPr>
            <w:tcW w:type="dxa" w:w="2340"/>
            <w:shd w:val="clear" w:color="auto" w:fill="E0EAFF"/>
          </w:tcPr>
          <w:p>
            <w:r>
              <w:rPr>
                <w:b/>
                <w:color w:val="0A2E80"/>
                <w:sz w:val="20"/>
              </w:rPr>
              <w:t>Per-property</w:t>
            </w:r>
          </w:p>
        </w:tc>
        <w:tc>
          <w:tcPr>
            <w:tcW w:type="dxa" w:w="2340"/>
            <w:shd w:val="clear" w:color="auto" w:fill="E0EAFF"/>
          </w:tcPr>
          <w:p>
            <w:r>
              <w:rPr>
                <w:b/>
                <w:color w:val="0A2E80"/>
                <w:sz w:val="20"/>
              </w:rPr>
              <w:t>Discount</w:t>
            </w:r>
          </w:p>
        </w:tc>
      </w:tr>
      <w:tr>
        <w:tc>
          <w:tcPr>
            <w:tcW w:type="dxa" w:w="2340"/>
          </w:tcPr>
          <w:p>
            <w:r>
              <w:rPr>
                <w:sz w:val="19"/>
              </w:rPr>
              <w:t>1</w:t>
            </w:r>
          </w:p>
        </w:tc>
        <w:tc>
          <w:tcPr>
            <w:tcW w:type="dxa" w:w="2340"/>
          </w:tcPr>
          <w:p>
            <w:r>
              <w:rPr>
                <w:sz w:val="19"/>
              </w:rPr>
              <w:t>$320</w:t>
            </w:r>
          </w:p>
        </w:tc>
        <w:tc>
          <w:tcPr>
            <w:tcW w:type="dxa" w:w="2340"/>
          </w:tcPr>
          <w:p>
            <w:r>
              <w:rPr>
                <w:sz w:val="19"/>
              </w:rPr>
              <w:t>$320</w:t>
            </w:r>
          </w:p>
        </w:tc>
        <w:tc>
          <w:tcPr>
            <w:tcW w:type="dxa" w:w="2340"/>
          </w:tcPr>
          <w:p>
            <w:r>
              <w:rPr>
                <w:sz w:val="19"/>
              </w:rPr>
              <w:t>—</w:t>
            </w:r>
          </w:p>
        </w:tc>
      </w:tr>
      <w:tr>
        <w:tc>
          <w:tcPr>
            <w:tcW w:type="dxa" w:w="2340"/>
          </w:tcPr>
          <w:p>
            <w:r>
              <w:rPr>
                <w:sz w:val="19"/>
              </w:rPr>
              <w:t>2</w:t>
            </w:r>
          </w:p>
        </w:tc>
        <w:tc>
          <w:tcPr>
            <w:tcW w:type="dxa" w:w="2340"/>
          </w:tcPr>
          <w:p>
            <w:r>
              <w:rPr>
                <w:sz w:val="19"/>
              </w:rPr>
              <w:t>$608</w:t>
            </w:r>
          </w:p>
        </w:tc>
        <w:tc>
          <w:tcPr>
            <w:tcW w:type="dxa" w:w="2340"/>
          </w:tcPr>
          <w:p>
            <w:r>
              <w:rPr>
                <w:sz w:val="19"/>
              </w:rPr>
              <w:t>$304</w:t>
            </w:r>
          </w:p>
        </w:tc>
        <w:tc>
          <w:tcPr>
            <w:tcW w:type="dxa" w:w="2340"/>
          </w:tcPr>
          <w:p>
            <w:r>
              <w:rPr>
                <w:sz w:val="19"/>
              </w:rPr>
              <w:t>5%</w:t>
            </w:r>
          </w:p>
        </w:tc>
      </w:tr>
      <w:tr>
        <w:tc>
          <w:tcPr>
            <w:tcW w:type="dxa" w:w="2340"/>
          </w:tcPr>
          <w:p>
            <w:r>
              <w:rPr>
                <w:sz w:val="19"/>
              </w:rPr>
              <w:t>3</w:t>
            </w:r>
          </w:p>
        </w:tc>
        <w:tc>
          <w:tcPr>
            <w:tcW w:type="dxa" w:w="2340"/>
          </w:tcPr>
          <w:p>
            <w:r>
              <w:rPr>
                <w:sz w:val="19"/>
              </w:rPr>
              <w:t>$864</w:t>
            </w:r>
          </w:p>
        </w:tc>
        <w:tc>
          <w:tcPr>
            <w:tcW w:type="dxa" w:w="2340"/>
          </w:tcPr>
          <w:p>
            <w:r>
              <w:rPr>
                <w:sz w:val="19"/>
              </w:rPr>
              <w:t>$288</w:t>
            </w:r>
          </w:p>
        </w:tc>
        <w:tc>
          <w:tcPr>
            <w:tcW w:type="dxa" w:w="2340"/>
          </w:tcPr>
          <w:p>
            <w:r>
              <w:rPr>
                <w:sz w:val="19"/>
              </w:rPr>
              <w:t>10%</w:t>
            </w:r>
          </w:p>
        </w:tc>
      </w:tr>
      <w:tr>
        <w:tc>
          <w:tcPr>
            <w:tcW w:type="dxa" w:w="2340"/>
          </w:tcPr>
          <w:p>
            <w:r>
              <w:rPr>
                <w:sz w:val="19"/>
              </w:rPr>
              <w:t>4</w:t>
            </w:r>
          </w:p>
        </w:tc>
        <w:tc>
          <w:tcPr>
            <w:tcW w:type="dxa" w:w="2340"/>
          </w:tcPr>
          <w:p>
            <w:r>
              <w:rPr>
                <w:sz w:val="19"/>
              </w:rPr>
              <w:t>$1,088</w:t>
            </w:r>
          </w:p>
        </w:tc>
        <w:tc>
          <w:tcPr>
            <w:tcW w:type="dxa" w:w="2340"/>
          </w:tcPr>
          <w:p>
            <w:r>
              <w:rPr>
                <w:sz w:val="19"/>
              </w:rPr>
              <w:t>$272</w:t>
            </w:r>
          </w:p>
        </w:tc>
        <w:tc>
          <w:tcPr>
            <w:tcW w:type="dxa" w:w="2340"/>
          </w:tcPr>
          <w:p>
            <w:r>
              <w:rPr>
                <w:sz w:val="19"/>
              </w:rPr>
              <w:t>15%</w:t>
            </w:r>
          </w:p>
        </w:tc>
      </w:tr>
      <w:tr>
        <w:tc>
          <w:tcPr>
            <w:tcW w:type="dxa" w:w="2340"/>
          </w:tcPr>
          <w:p>
            <w:r>
              <w:rPr>
                <w:sz w:val="19"/>
              </w:rPr>
              <w:t>5</w:t>
            </w:r>
          </w:p>
        </w:tc>
        <w:tc>
          <w:tcPr>
            <w:tcW w:type="dxa" w:w="2340"/>
          </w:tcPr>
          <w:p>
            <w:r>
              <w:rPr>
                <w:sz w:val="19"/>
              </w:rPr>
              <w:t>$1,280</w:t>
            </w:r>
          </w:p>
        </w:tc>
        <w:tc>
          <w:tcPr>
            <w:tcW w:type="dxa" w:w="2340"/>
          </w:tcPr>
          <w:p>
            <w:r>
              <w:rPr>
                <w:sz w:val="19"/>
              </w:rPr>
              <w:t>$256</w:t>
            </w:r>
          </w:p>
        </w:tc>
        <w:tc>
          <w:tcPr>
            <w:tcW w:type="dxa" w:w="2340"/>
          </w:tcPr>
          <w:p>
            <w:r>
              <w:rPr>
                <w:sz w:val="19"/>
              </w:rPr>
              <w:t>20%</w:t>
            </w:r>
          </w:p>
        </w:tc>
      </w:tr>
    </w:tbl>
    <w:p>
      <w:pPr>
        <w:spacing w:after="80"/>
        <w:ind w:left="216"/>
        <w:pBdr>
          <w:left w:val="single" w:sz="24" w:space="8" w:color="1A4FBF"/>
        </w:pBdr>
        <w:shd w:val="clear" w:color="auto" w:fill="F0F5FF"/>
      </w:pPr>
      <w:r>
        <w:rPr>
          <w:rFonts w:ascii="Helvetica" w:hAnsi="Helvetica"/>
          <w:color w:val="1A4FBF"/>
          <w:sz w:val="21"/>
        </w:rPr>
        <w:t>Plus $125 one-time onboarding. Replace the "1–2% fee" comparison entirely with: "flat $320/mo per property, sliding to $256 at five properties — vs the industry standard of 20–40% of revenue charged by full-service property managers."</w:t>
      </w:r>
    </w:p>
    <w:p>
      <w:pPr>
        <w:pStyle w:val="ListBullet"/>
        <w:spacing w:after="40"/>
        <w:ind w:left="576"/>
        <w:pBdr>
          <w:left w:val="single" w:sz="24" w:space="8" w:color="1A4FBF"/>
        </w:pBdr>
        <w:shd w:val="clear" w:color="auto" w:fill="F0F5FF"/>
      </w:pPr>
      <w:r>
        <w:rPr>
          <w:rFonts w:ascii="Helvetica" w:hAnsi="Helvetica"/>
          <w:b/>
          <w:color w:val="1A4FBF"/>
          <w:sz w:val="21"/>
        </w:rPr>
        <w:t>The 8% revenue lift number is conservative.</w:t>
      </w:r>
      <w:r>
        <w:rPr>
          <w:rFonts w:ascii="Helvetica" w:hAnsi="Helvetica"/>
          <w:color w:val="1A4FBF"/>
          <w:sz w:val="21"/>
        </w:rPr>
        <w:t xml:space="preserve"> Documented portfolio average per the live site is +18%. Lean into it: "The average lift across our portfolio is 18% vs comp set. Even at half that, the math beats any percentage-of-revenue model."</w:t>
      </w:r>
    </w:p>
    <w:p>
      <w:pPr>
        <w:spacing w:before="280" w:after="80"/>
      </w:pPr>
      <w:r>
        <w:rPr>
          <w:b/>
          <w:sz w:val="26"/>
        </w:rPr>
        <w:t>Section 13: How RevFactor Approaches Revenue Management</w:t>
      </w:r>
    </w:p>
    <w:p>
      <w:pPr>
        <w:pStyle w:val="ListBullet"/>
        <w:spacing w:after="40"/>
        <w:ind w:left="360"/>
      </w:pPr>
      <w:r>
        <w:rPr>
          <w:b/>
          <w:sz w:val="22"/>
        </w:rPr>
        <w:t>Format:</w:t>
      </w:r>
      <w:r>
        <w:rPr>
          <w:sz w:val="22"/>
        </w:rPr>
        <w:t xml:space="preserve"> Four bolded principles + supporting prose</w:t>
      </w:r>
    </w:p>
    <w:p>
      <w:pPr>
        <w:pStyle w:val="ListBullet"/>
        <w:spacing w:after="40"/>
        <w:ind w:left="360"/>
      </w:pPr>
      <w:r>
        <w:rPr>
          <w:b/>
          <w:sz w:val="22"/>
        </w:rPr>
        <w:t>Content:</w:t>
      </w:r>
      <w:r>
        <w:rPr>
          <w:sz w:val="22"/>
        </w:rPr>
        <w:t xml:space="preserve"> Introduces RevFactor as a method, not a pitch. The four principles cover: tools as the engine and human judgment as the driver (PriceLabs operated with intent rather than replaced, with onboarding via co-host access and no double subscriptions); battle-tested at scale through Blackbird Hospitality's 165+ properties across 24 U.S. states and 56 markets; a flat monthly fee model that avoids the misalignment of percentage-based pricing; and RevPAR-first reporting in place of vanity metrics like raw occupancy or ADR in isolation.</w:t>
      </w:r>
    </w:p>
    <w:p>
      <w:pPr>
        <w:pStyle w:val="ListBullet"/>
        <w:spacing w:after="40"/>
        <w:ind w:left="360"/>
      </w:pPr>
      <w:r>
        <w:rPr>
          <w:b/>
          <w:sz w:val="22"/>
        </w:rPr>
        <w:t>Purpose:</w:t>
      </w:r>
      <w:r>
        <w:rPr>
          <w:sz w:val="22"/>
        </w:rPr>
        <w:t xml:space="preserve"> Service introduction framed as a method, not a pitch</w:t>
      </w:r>
    </w:p>
    <w:p>
      <w:pPr>
        <w:spacing w:before="160" w:after="40"/>
        <w:ind w:left="216"/>
        <w:pBdr>
          <w:left w:val="single" w:sz="24" w:space="8" w:color="1A4FBF"/>
        </w:pBdr>
        <w:shd w:val="clear" w:color="auto" w:fill="F0F5FF"/>
      </w:pPr>
      <w:r>
        <w:rPr>
          <w:rFonts w:ascii="Helvetica" w:hAnsi="Helvetica"/>
          <w:b/>
          <w:color w:val="0A2E80"/>
          <w:sz w:val="18"/>
        </w:rPr>
        <w:t>FEEDBACK — SECTION 13</w:t>
      </w:r>
    </w:p>
    <w:p>
      <w:pPr>
        <w:pStyle w:val="ListBullet"/>
        <w:spacing w:after="40"/>
        <w:ind w:left="576"/>
        <w:pBdr>
          <w:left w:val="single" w:sz="24" w:space="8" w:color="1A4FBF"/>
        </w:pBdr>
        <w:shd w:val="clear" w:color="auto" w:fill="F0F5FF"/>
      </w:pPr>
      <w:r>
        <w:rPr>
          <w:rFonts w:ascii="Helvetica" w:hAnsi="Helvetica"/>
          <w:b/>
          <w:color w:val="1A4FBF"/>
          <w:sz w:val="21"/>
        </w:rPr>
        <w:t>Add the actual pricing tiers (table from Section 12)</w:t>
      </w:r>
      <w:r>
        <w:rPr>
          <w:rFonts w:ascii="Helvetica" w:hAnsi="Helvetica"/>
          <w:color w:val="1A4FBF"/>
          <w:sz w:val="21"/>
        </w:rPr>
        <w:t xml:space="preserve"> currently the outline doesn't surface pricing in this section, only in the qualifying section. The pillar is the page that should rank organically; users should learn pricing here too.</w:t>
      </w:r>
    </w:p>
    <w:p>
      <w:pPr>
        <w:pStyle w:val="ListBullet"/>
        <w:spacing w:after="40"/>
        <w:ind w:left="576"/>
        <w:pBdr>
          <w:left w:val="single" w:sz="24" w:space="8" w:color="1A4FBF"/>
        </w:pBdr>
        <w:shd w:val="clear" w:color="auto" w:fill="F0F5FF"/>
      </w:pPr>
      <w:r>
        <w:rPr>
          <w:rFonts w:ascii="Helvetica" w:hAnsi="Helvetica"/>
          <w:b/>
          <w:color w:val="1A4FBF"/>
          <w:sz w:val="21"/>
        </w:rPr>
        <w:t>Co-host access detail confirmed</w:t>
      </w:r>
      <w:r>
        <w:rPr>
          <w:rFonts w:ascii="Helvetica" w:hAnsi="Helvetica"/>
          <w:color w:val="1A4FBF"/>
          <w:sz w:val="21"/>
        </w:rPr>
        <w:t xml:space="preserve"> in Onboarding §1.2 ("RevFactor takes co-host access to client's existing PriceLabs account AND Airbnb account — client doesn't pay PriceLabs twice"). OK to publish.</w:t>
      </w:r>
    </w:p>
    <w:p>
      <w:pPr>
        <w:spacing w:before="280" w:after="80"/>
      </w:pPr>
      <w:r>
        <w:rPr>
          <w:b/>
          <w:sz w:val="26"/>
        </w:rPr>
        <w:t>Section 14: Closing Thought</w:t>
      </w:r>
    </w:p>
    <w:p>
      <w:pPr>
        <w:pStyle w:val="ListBullet"/>
        <w:spacing w:after="40"/>
        <w:ind w:left="360"/>
      </w:pPr>
      <w:r>
        <w:rPr>
          <w:b/>
          <w:sz w:val="22"/>
        </w:rPr>
        <w:t>Format:</w:t>
      </w:r>
      <w:r>
        <w:rPr>
          <w:sz w:val="22"/>
        </w:rPr>
        <w:t xml:space="preserve"> Short prose, signed</w:t>
      </w:r>
    </w:p>
    <w:p>
      <w:pPr>
        <w:pStyle w:val="ListBullet"/>
        <w:spacing w:after="40"/>
        <w:ind w:left="360"/>
      </w:pPr>
      <w:r>
        <w:rPr>
          <w:b/>
          <w:sz w:val="22"/>
        </w:rPr>
        <w:t>Content:</w:t>
      </w:r>
      <w:r>
        <w:rPr>
          <w:sz w:val="22"/>
        </w:rPr>
        <w:t xml:space="preserve"> Returns to the perishable-inventory frame that opened the article, a night that is not sold can never be sold again, and condenses the entire guide into one specific takeaway action: stop tracking ADR and occupancy as separate numbers, start tracking RevPAR against the comp set, watch the pacing, and ask weekly whether the tool is actually being driven. Signed by Federico to reinforce the author's authority and close the loop on the opening anecdote.</w:t>
      </w:r>
    </w:p>
    <w:p>
      <w:pPr>
        <w:pStyle w:val="ListBullet"/>
        <w:spacing w:after="40"/>
        <w:ind w:left="360"/>
      </w:pPr>
      <w:r>
        <w:rPr>
          <w:b/>
          <w:sz w:val="22"/>
        </w:rPr>
        <w:t>Purpose:</w:t>
      </w:r>
      <w:r>
        <w:rPr>
          <w:sz w:val="22"/>
        </w:rPr>
        <w:t xml:space="preserve"> Memorable close + reinforces central thesis</w:t>
      </w:r>
    </w:p>
    <w:p>
      <w:pPr>
        <w:spacing w:before="160" w:after="40"/>
        <w:ind w:left="216"/>
        <w:pBdr>
          <w:left w:val="single" w:sz="24" w:space="8" w:color="1A4FBF"/>
        </w:pBdr>
        <w:shd w:val="clear" w:color="auto" w:fill="F0F5FF"/>
      </w:pPr>
      <w:r>
        <w:rPr>
          <w:rFonts w:ascii="Helvetica" w:hAnsi="Helvetica"/>
          <w:b/>
          <w:color w:val="0A2E80"/>
          <w:sz w:val="18"/>
        </w:rPr>
        <w:t>FEEDBACK — SECTION 14</w:t>
      </w:r>
    </w:p>
    <w:p>
      <w:pPr>
        <w:spacing w:after="80"/>
        <w:ind w:left="216"/>
        <w:pBdr>
          <w:left w:val="single" w:sz="24" w:space="8" w:color="1A4FBF"/>
        </w:pBdr>
        <w:shd w:val="clear" w:color="auto" w:fill="F0F5FF"/>
      </w:pPr>
      <w:r>
        <w:rPr>
          <w:rFonts w:ascii="Helvetica" w:hAnsi="Helvetica"/>
          <w:color w:val="1A4FBF"/>
          <w:sz w:val="21"/>
        </w:rPr>
        <w:t>Strong as written. Federico's line "a night that is not sold can never be sold again" is preserved verbatim in the original outline — keep it as-is. Confirmed in Onboarding §5.4 as one of his core quotes.</w:t>
      </w:r>
    </w:p>
    <w:p>
      <w:pPr>
        <w:spacing w:before="280" w:after="80"/>
      </w:pPr>
      <w:r>
        <w:rPr>
          <w:b/>
          <w:sz w:val="26"/>
        </w:rPr>
        <w:t>Section 15: Frequently Asked Questions</w:t>
      </w:r>
    </w:p>
    <w:p>
      <w:pPr>
        <w:pStyle w:val="ListBullet"/>
        <w:spacing w:after="40"/>
        <w:ind w:left="360"/>
      </w:pPr>
      <w:r>
        <w:rPr>
          <w:b/>
          <w:sz w:val="22"/>
        </w:rPr>
        <w:t>Format:</w:t>
      </w:r>
      <w:r>
        <w:rPr>
          <w:sz w:val="22"/>
        </w:rPr>
        <w:t xml:space="preserve"> 8 Q&amp;A pairs with H3 question headers</w:t>
      </w:r>
    </w:p>
    <w:p>
      <w:pPr>
        <w:pStyle w:val="ListBullet"/>
        <w:spacing w:after="40"/>
        <w:ind w:left="360"/>
      </w:pPr>
      <w:r>
        <w:rPr>
          <w:b/>
          <w:sz w:val="22"/>
        </w:rPr>
        <w:t>Content:</w:t>
      </w:r>
      <w:r>
        <w:rPr>
          <w:sz w:val="22"/>
        </w:rPr>
        <w:t xml:space="preserve"> Eight question-and-answer pairs written specifically to be lifted verbatim by ChatGPT, Perplexity, and Claude, with each question pulled directly from Peec.ai's 75 tracked AI prompts. Topics include the revenue-management-vs-dynamic-pricing distinction, the RevPAR definition, whether PriceLabs/Beyond users still need a revenue manager, realistic revenue-lift expectations (5–10% for well-run properties, 15–25%+ for default-tool setups), the best metric to track, the four pillars summarized, hire-trigger thresholds, and how STR revenue management differs structurally from hotel revenue management.</w:t>
      </w:r>
    </w:p>
    <w:p>
      <w:pPr>
        <w:pStyle w:val="ListBullet"/>
        <w:spacing w:after="40"/>
        <w:ind w:left="360"/>
      </w:pPr>
      <w:r>
        <w:rPr>
          <w:b/>
          <w:sz w:val="22"/>
        </w:rPr>
        <w:t>Purpose:</w:t>
      </w:r>
      <w:r>
        <w:rPr>
          <w:sz w:val="22"/>
        </w:rPr>
        <w:t xml:space="preserve"> Maximum AEO/GEO value written to be lifted verbatim by ChatGPT, Perplexity, Claude</w:t>
      </w:r>
    </w:p>
    <w:p>
      <w:pPr>
        <w:spacing w:before="160" w:after="40"/>
        <w:ind w:left="216"/>
        <w:pBdr>
          <w:left w:val="single" w:sz="24" w:space="8" w:color="1A4FBF"/>
        </w:pBdr>
        <w:shd w:val="clear" w:color="auto" w:fill="F0F5FF"/>
      </w:pPr>
      <w:r>
        <w:rPr>
          <w:rFonts w:ascii="Helvetica" w:hAnsi="Helvetica"/>
          <w:b/>
          <w:color w:val="0A2E80"/>
          <w:sz w:val="18"/>
        </w:rPr>
        <w:t>FEEDBACK — SECTION 15 (FAQ — biggest AEO leverage point)</w:t>
      </w:r>
    </w:p>
    <w:p>
      <w:pPr>
        <w:spacing w:after="80"/>
        <w:ind w:left="216"/>
        <w:pBdr>
          <w:left w:val="single" w:sz="24" w:space="8" w:color="1A4FBF"/>
        </w:pBdr>
        <w:shd w:val="clear" w:color="auto" w:fill="F0F5FF"/>
      </w:pPr>
      <w:r>
        <w:rPr>
          <w:rFonts w:ascii="Helvetica" w:hAnsi="Helvetica"/>
          <w:color w:val="1A4FBF"/>
          <w:sz w:val="21"/>
        </w:rPr>
        <w:t>This section deserves the most rework. The 8 proposed questions are thematically right but don't map directly to the actual high-volume Peec prompts. Of RevFactor's 75 tracked AI prompts, here are the highest-volume ones (tier 5) currently scoring 0% RevFactor visibility — replace 4–5 of the proposed FAQs with these, because the wording is what AI engines actually surface against:</w:t>
      </w:r>
    </w:p>
    <w:tbl>
      <w:tblPr>
        <w:tblStyle w:val="LightGrid-Accent1"/>
        <w:tblW w:type="auto" w:w="0"/>
        <w:jc w:val="left"/>
        <w:tblLook w:firstColumn="1" w:firstRow="1" w:lastColumn="0" w:lastRow="0" w:noHBand="0" w:noVBand="1" w:val="04A0"/>
      </w:tblPr>
      <w:tblGrid>
        <w:gridCol w:w="4680"/>
        <w:gridCol w:w="4680"/>
      </w:tblGrid>
      <w:tr>
        <w:tc>
          <w:tcPr>
            <w:tcW w:type="dxa" w:w="4680"/>
            <w:shd w:val="clear" w:color="auto" w:fill="E0EAFF"/>
          </w:tcPr>
          <w:p>
            <w:r>
              <w:rPr>
                <w:b/>
                <w:color w:val="0A2E80"/>
                <w:sz w:val="20"/>
              </w:rPr>
              <w:t>Tier</w:t>
            </w:r>
          </w:p>
        </w:tc>
        <w:tc>
          <w:tcPr>
            <w:tcW w:type="dxa" w:w="4680"/>
            <w:shd w:val="clear" w:color="auto" w:fill="E0EAFF"/>
          </w:tcPr>
          <w:p>
            <w:r>
              <w:rPr>
                <w:b/>
                <w:color w:val="0A2E80"/>
                <w:sz w:val="20"/>
              </w:rPr>
              <w:t>Peec prompt (verbatim — match wording)</w:t>
            </w:r>
          </w:p>
        </w:tc>
      </w:tr>
      <w:tr>
        <w:tc>
          <w:tcPr>
            <w:tcW w:type="dxa" w:w="4680"/>
          </w:tcPr>
          <w:p>
            <w:r>
              <w:rPr>
                <w:sz w:val="19"/>
              </w:rPr>
              <w:t>5</w:t>
            </w:r>
          </w:p>
        </w:tc>
        <w:tc>
          <w:tcPr>
            <w:tcW w:type="dxa" w:w="4680"/>
          </w:tcPr>
          <w:p>
            <w:r>
              <w:rPr>
                <w:sz w:val="19"/>
              </w:rPr>
              <w:t>What are the best revenue management companies for short-term rentals?</w:t>
            </w:r>
          </w:p>
        </w:tc>
      </w:tr>
      <w:tr>
        <w:tc>
          <w:tcPr>
            <w:tcW w:type="dxa" w:w="4680"/>
          </w:tcPr>
          <w:p>
            <w:r>
              <w:rPr>
                <w:sz w:val="19"/>
              </w:rPr>
              <w:t>5</w:t>
            </w:r>
          </w:p>
        </w:tc>
        <w:tc>
          <w:tcPr>
            <w:tcW w:type="dxa" w:w="4680"/>
          </w:tcPr>
          <w:p>
            <w:r>
              <w:rPr>
                <w:sz w:val="19"/>
              </w:rPr>
              <w:t>How do I maximize revenue on my short-term rental?</w:t>
            </w:r>
          </w:p>
        </w:tc>
      </w:tr>
      <w:tr>
        <w:tc>
          <w:tcPr>
            <w:tcW w:type="dxa" w:w="4680"/>
          </w:tcPr>
          <w:p>
            <w:r>
              <w:rPr>
                <w:sz w:val="19"/>
              </w:rPr>
              <w:t>5</w:t>
            </w:r>
          </w:p>
        </w:tc>
        <w:tc>
          <w:tcPr>
            <w:tcW w:type="dxa" w:w="4680"/>
          </w:tcPr>
          <w:p>
            <w:r>
              <w:rPr>
                <w:sz w:val="19"/>
              </w:rPr>
              <w:t>What is the best way to increase RevPAR for vacation rentals?</w:t>
            </w:r>
          </w:p>
        </w:tc>
      </w:tr>
      <w:tr>
        <w:tc>
          <w:tcPr>
            <w:tcW w:type="dxa" w:w="4680"/>
          </w:tcPr>
          <w:p>
            <w:r>
              <w:rPr>
                <w:sz w:val="19"/>
              </w:rPr>
              <w:t>5</w:t>
            </w:r>
          </w:p>
        </w:tc>
        <w:tc>
          <w:tcPr>
            <w:tcW w:type="dxa" w:w="4680"/>
          </w:tcPr>
          <w:p>
            <w:r>
              <w:rPr>
                <w:sz w:val="19"/>
              </w:rPr>
              <w:t>How can I increase my Airbnb income without lowering rates?</w:t>
            </w:r>
          </w:p>
        </w:tc>
      </w:tr>
      <w:tr>
        <w:tc>
          <w:tcPr>
            <w:tcW w:type="dxa" w:w="4680"/>
          </w:tcPr>
          <w:p>
            <w:r>
              <w:rPr>
                <w:sz w:val="19"/>
              </w:rPr>
              <w:t>5</w:t>
            </w:r>
          </w:p>
        </w:tc>
        <w:tc>
          <w:tcPr>
            <w:tcW w:type="dxa" w:w="4680"/>
          </w:tcPr>
          <w:p>
            <w:r>
              <w:rPr>
                <w:sz w:val="19"/>
              </w:rPr>
              <w:t>How do I improve my revenue per available night on Airbnb?</w:t>
            </w:r>
          </w:p>
        </w:tc>
      </w:tr>
      <w:tr>
        <w:tc>
          <w:tcPr>
            <w:tcW w:type="dxa" w:w="4680"/>
          </w:tcPr>
          <w:p>
            <w:r>
              <w:rPr>
                <w:sz w:val="19"/>
              </w:rPr>
              <w:t>5</w:t>
            </w:r>
          </w:p>
        </w:tc>
        <w:tc>
          <w:tcPr>
            <w:tcW w:type="dxa" w:w="4680"/>
          </w:tcPr>
          <w:p>
            <w:r>
              <w:rPr>
                <w:sz w:val="19"/>
              </w:rPr>
              <w:t>Who can help me set optimal nightly rates for my rental property?</w:t>
            </w:r>
          </w:p>
        </w:tc>
      </w:tr>
      <w:tr>
        <w:tc>
          <w:tcPr>
            <w:tcW w:type="dxa" w:w="4680"/>
          </w:tcPr>
          <w:p>
            <w:r>
              <w:rPr>
                <w:sz w:val="19"/>
              </w:rPr>
              <w:t>5</w:t>
            </w:r>
          </w:p>
        </w:tc>
        <w:tc>
          <w:tcPr>
            <w:tcW w:type="dxa" w:w="4680"/>
          </w:tcPr>
          <w:p>
            <w:r>
              <w:rPr>
                <w:sz w:val="19"/>
              </w:rPr>
              <w:t>How do I price my vacation rental for peak and off-seasons?</w:t>
            </w:r>
          </w:p>
        </w:tc>
      </w:tr>
      <w:tr>
        <w:tc>
          <w:tcPr>
            <w:tcW w:type="dxa" w:w="4680"/>
          </w:tcPr>
          <w:p>
            <w:r>
              <w:rPr>
                <w:sz w:val="19"/>
              </w:rPr>
              <w:t>4</w:t>
            </w:r>
          </w:p>
        </w:tc>
        <w:tc>
          <w:tcPr>
            <w:tcW w:type="dxa" w:w="4680"/>
          </w:tcPr>
          <w:p>
            <w:r>
              <w:rPr>
                <w:sz w:val="19"/>
              </w:rPr>
              <w:t>What is dynamic pricing for short-term rentals?</w:t>
            </w:r>
          </w:p>
        </w:tc>
      </w:tr>
    </w:tbl>
    <w:p>
      <w:pPr>
        <w:spacing w:after="80"/>
        <w:ind w:left="216"/>
        <w:pBdr>
          <w:left w:val="single" w:sz="24" w:space="8" w:color="1A4FBF"/>
        </w:pBdr>
        <w:shd w:val="clear" w:color="auto" w:fill="F0F5FF"/>
      </w:pPr>
      <w:r>
        <w:rPr>
          <w:rFonts w:ascii="Helvetica" w:hAnsi="Helvetica"/>
          <w:b/>
          <w:color w:val="1A4FBF"/>
          <w:sz w:val="21"/>
        </w:rPr>
        <w:t xml:space="preserve">The wording of each FAQ question should match the Peec prompt verbatim where possible. </w:t>
      </w:r>
      <w:r>
        <w:rPr>
          <w:rFonts w:ascii="Helvetica" w:hAnsi="Helvetica"/>
          <w:b w:val="0"/>
          <w:color w:val="1A4FBF"/>
          <w:sz w:val="21"/>
        </w:rPr>
        <w:t>ChatGPT and Perplexity match against question phrasing — "What is the best way to increase RevPAR for vacation rentals?" beats a paraphrase like "How do I improve RevPAR?" by an order of magnitude in citation lift.</w:t>
      </w:r>
    </w:p>
    <w:p>
      <w:pPr>
        <w:spacing w:after="80"/>
        <w:ind w:left="216"/>
        <w:pBdr>
          <w:left w:val="single" w:sz="24" w:space="8" w:color="1A4FBF"/>
        </w:pBdr>
        <w:shd w:val="clear" w:color="auto" w:fill="F0F5FF"/>
      </w:pPr>
      <w:r>
        <w:rPr>
          <w:rFonts w:ascii="Helvetica" w:hAnsi="Helvetica"/>
          <w:b/>
          <w:color w:val="1A4FBF"/>
          <w:sz w:val="21"/>
        </w:rPr>
        <w:t xml:space="preserve">Caveat on "What are the best revenue management companies": </w:t>
      </w:r>
      <w:r>
        <w:rPr>
          <w:rFonts w:ascii="Helvetica" w:hAnsi="Helvetica"/>
          <w:b w:val="0"/>
          <w:color w:val="1A4FBF"/>
          <w:sz w:val="21"/>
        </w:rPr>
        <w:t>if RevFactor answers that question on its own page, it'll cite itself, which is weak signal. Better play: publish the companion listicle ("Best STR Revenue Management Companies 2026") and link to it from this FAQ. That's the missing companion page flagged in the banner at the top of this doc.</w:t>
      </w:r>
    </w:p>
    <w:p>
      <w:pPr>
        <w:spacing w:after="80"/>
        <w:ind w:left="216"/>
        <w:pBdr>
          <w:left w:val="single" w:sz="24" w:space="8" w:color="1A4FBF"/>
        </w:pBdr>
        <w:shd w:val="clear" w:color="auto" w:fill="F0F5FF"/>
      </w:pPr>
      <w:r>
        <w:rPr>
          <w:rFonts w:ascii="Helvetica" w:hAnsi="Helvetica"/>
          <w:b/>
          <w:color w:val="1A4FBF"/>
          <w:sz w:val="21"/>
        </w:rPr>
        <w:t xml:space="preserve">Recommended FAQ count: 10–12, not 8. </w:t>
      </w:r>
      <w:r>
        <w:rPr>
          <w:rFonts w:ascii="Helvetica" w:hAnsi="Helvetica"/>
          <w:b w:val="0"/>
          <w:color w:val="1A4FBF"/>
          <w:sz w:val="21"/>
        </w:rPr>
        <w:t>Each adds an FAQPage schema entry and an AEO citation surface. Diminishing returns past ~12.</w:t>
      </w:r>
    </w:p>
    <w:p>
      <w:pPr>
        <w:spacing w:before="360" w:after="120"/>
        <w:pBdr>
          <w:bottom w:val="single" w:sz="6" w:space="1" w:color="CCCCCC"/>
        </w:pBdr>
      </w:pPr>
      <w:r>
        <w:rPr>
          <w:b/>
          <w:sz w:val="32"/>
        </w:rPr>
        <w:t>4. Brand Voice Compliance</w:t>
      </w:r>
    </w:p>
    <w:p>
      <w:pPr>
        <w:spacing w:after="120"/>
      </w:pPr>
      <w:r>
        <w:rPr>
          <w:b w:val="0"/>
          <w:i w:val="0"/>
          <w:sz w:val="22"/>
        </w:rPr>
        <w:t>Will use: "Here's the thing" • "Keep in mind" • "The important thing is to understand" • Short opener → medium build → longer close • Real anecdotes • Calm analytical tone</w:t>
      </w:r>
    </w:p>
    <w:p>
      <w:pPr>
        <w:spacing w:after="120"/>
      </w:pPr>
      <w:r>
        <w:rPr>
          <w:b w:val="0"/>
          <w:i w:val="0"/>
          <w:sz w:val="22"/>
        </w:rPr>
        <w:t>Will avoid: "Leverage" • "Synergistic" • "Circle back" • "Revenue optimization" • Passive income framing • Hype-y or salesy language</w:t>
      </w:r>
    </w:p>
    <w:p>
      <w:pPr>
        <w:spacing w:before="160" w:after="40"/>
        <w:ind w:left="216"/>
        <w:pBdr>
          <w:left w:val="single" w:sz="24" w:space="8" w:color="1A4FBF"/>
        </w:pBdr>
        <w:shd w:val="clear" w:color="auto" w:fill="F0F5FF"/>
      </w:pPr>
      <w:r>
        <w:rPr>
          <w:rFonts w:ascii="Helvetica" w:hAnsi="Helvetica"/>
          <w:b/>
          <w:color w:val="0A2E80"/>
          <w:sz w:val="18"/>
        </w:rPr>
        <w:t>FEEDBACK — VOICE COMPLIANCE</w:t>
      </w:r>
    </w:p>
    <w:p>
      <w:pPr>
        <w:pStyle w:val="ListBullet"/>
        <w:spacing w:after="40"/>
        <w:ind w:left="576"/>
        <w:pBdr>
          <w:left w:val="single" w:sz="24" w:space="8" w:color="1A4FBF"/>
        </w:pBdr>
        <w:shd w:val="clear" w:color="auto" w:fill="F0F5FF"/>
      </w:pPr>
      <w:r>
        <w:rPr>
          <w:rFonts w:ascii="Helvetica" w:hAnsi="Helvetica"/>
          <w:b/>
          <w:color w:val="1A4FBF"/>
          <w:sz w:val="21"/>
        </w:rPr>
        <w:t>Missing from "Will use":</w:t>
      </w:r>
      <w:r>
        <w:rPr>
          <w:rFonts w:ascii="Helvetica" w:hAnsi="Helvetica"/>
          <w:color w:val="1A4FBF"/>
          <w:sz w:val="21"/>
        </w:rPr>
        <w:t xml:space="preserve"> Federico's actual signature phrase per persona guide + Onboarding §5.4 is "Let me show you [specific thing]" — the single most identifiable Federico voice marker. Add it.</w:t>
      </w:r>
    </w:p>
    <w:p>
      <w:pPr>
        <w:pStyle w:val="ListBullet"/>
        <w:spacing w:after="40"/>
        <w:ind w:left="576"/>
        <w:pBdr>
          <w:left w:val="single" w:sz="24" w:space="8" w:color="1A4FBF"/>
        </w:pBdr>
        <w:shd w:val="clear" w:color="auto" w:fill="F0F5FF"/>
      </w:pPr>
      <w:r>
        <w:rPr>
          <w:rFonts w:ascii="Helvetica" w:hAnsi="Helvetica"/>
          <w:color w:val="1A4FBF"/>
          <w:sz w:val="21"/>
        </w:rPr>
        <w:t>Also missing: "So, again", "Number one… the other way is…", "This is a people business, not just real estate" (his core belief per Onboarding §5.4).</w:t>
      </w:r>
    </w:p>
    <w:p>
      <w:pPr>
        <w:pStyle w:val="ListBullet"/>
        <w:spacing w:after="40"/>
        <w:ind w:left="576"/>
        <w:pBdr>
          <w:left w:val="single" w:sz="24" w:space="8" w:color="1A4FBF"/>
        </w:pBdr>
        <w:shd w:val="clear" w:color="auto" w:fill="F0F5FF"/>
      </w:pPr>
      <w:r>
        <w:rPr>
          <w:rFonts w:ascii="Helvetica" w:hAnsi="Helvetica"/>
          <w:b/>
          <w:color w:val="1A4FBF"/>
          <w:sz w:val="21"/>
        </w:rPr>
        <w:t>"Will avoid" list is good —</w:t>
      </w:r>
      <w:r>
        <w:rPr>
          <w:rFonts w:ascii="Helvetica" w:hAnsi="Helvetica"/>
          <w:color w:val="1A4FBF"/>
          <w:sz w:val="21"/>
        </w:rPr>
        <w:t xml:space="preserve"> "revenue optimization" being banned is the right call (Federico hates the phrase). Add "unlock", "at the end of the day", and "leverage your assets" — all explicitly banned in the persona guide.</w:t>
      </w:r>
    </w:p>
    <w:p>
      <w:pPr>
        <w:spacing w:before="360" w:after="120"/>
        <w:pBdr>
          <w:bottom w:val="single" w:sz="6" w:space="1" w:color="CCCCCC"/>
        </w:pBdr>
      </w:pPr>
      <w:r>
        <w:rPr>
          <w:b/>
          <w:sz w:val="32"/>
        </w:rPr>
        <w:t>Things to Add Before GetCito Drafts (consolidated)</w:t>
      </w:r>
    </w:p>
    <w:p>
      <w:pPr>
        <w:spacing w:before="160" w:after="40"/>
        <w:ind w:left="216"/>
        <w:pBdr>
          <w:left w:val="single" w:sz="24" w:space="8" w:color="1A4FBF"/>
        </w:pBdr>
        <w:shd w:val="clear" w:color="auto" w:fill="F0F5FF"/>
      </w:pPr>
      <w:r>
        <w:rPr>
          <w:rFonts w:ascii="Helvetica" w:hAnsi="Helvetica"/>
          <w:b/>
          <w:color w:val="0A2E80"/>
          <w:sz w:val="18"/>
        </w:rPr>
        <w:t>ACTION LIST</w:t>
      </w:r>
    </w:p>
    <w:p>
      <w:pPr>
        <w:pStyle w:val="ListBullet"/>
        <w:spacing w:after="40"/>
        <w:ind w:left="576"/>
        <w:pBdr>
          <w:left w:val="single" w:sz="24" w:space="8" w:color="1A4FBF"/>
        </w:pBdr>
        <w:shd w:val="clear" w:color="auto" w:fill="F0F5FF"/>
      </w:pPr>
      <w:r>
        <w:rPr>
          <w:rFonts w:ascii="Helvetica" w:hAnsi="Helvetica"/>
          <w:b/>
          <w:color w:val="1A4FBF"/>
          <w:sz w:val="21"/>
        </w:rPr>
        <w:t>1. Decision on existing /blog/dynamic-pricing-str-beginners-guide/.</w:t>
      </w:r>
      <w:r>
        <w:rPr>
          <w:rFonts w:ascii="Helvetica" w:hAnsi="Helvetica"/>
          <w:color w:val="1A4FBF"/>
          <w:sz w:val="21"/>
        </w:rPr>
        <w:t xml:space="preserve"> Recommended: keep, downgrade to ~600-word entry, add "Read the full guide" callout linking to the pillar. Decision needed before pillar publishes.</w:t>
      </w:r>
    </w:p>
    <w:p>
      <w:pPr>
        <w:pStyle w:val="ListBullet"/>
        <w:spacing w:after="40"/>
        <w:ind w:left="576"/>
        <w:pBdr>
          <w:left w:val="single" w:sz="24" w:space="8" w:color="1A4FBF"/>
        </w:pBdr>
        <w:shd w:val="clear" w:color="auto" w:fill="F0F5FF"/>
      </w:pPr>
      <w:r>
        <w:rPr>
          <w:rFonts w:ascii="Helvetica" w:hAnsi="Helvetica"/>
          <w:b/>
          <w:color w:val="1A4FBF"/>
          <w:sz w:val="21"/>
        </w:rPr>
        <w:t>2. Decision on the planned "Dynamic Pricing vs Revenue Management" Phase 2 post.</w:t>
      </w:r>
      <w:r>
        <w:rPr>
          <w:rFonts w:ascii="Helvetica" w:hAnsi="Helvetica"/>
          <w:color w:val="1A4FBF"/>
          <w:sz w:val="21"/>
        </w:rPr>
        <w:t xml:space="preserve"> Recommended: merge into Section 4 of this pillar instead of standing alone. Same head-term intent; cannibalization risk.</w:t>
      </w:r>
    </w:p>
    <w:p>
      <w:pPr>
        <w:pStyle w:val="ListBullet"/>
        <w:spacing w:after="40"/>
        <w:ind w:left="576"/>
        <w:pBdr>
          <w:left w:val="single" w:sz="24" w:space="8" w:color="1A4FBF"/>
        </w:pBdr>
        <w:shd w:val="clear" w:color="auto" w:fill="F0F5FF"/>
      </w:pPr>
      <w:r>
        <w:rPr>
          <w:rFonts w:ascii="Helvetica" w:hAnsi="Helvetica"/>
          <w:b/>
          <w:color w:val="1A4FBF"/>
          <w:sz w:val="21"/>
        </w:rPr>
        <w:t>3. Companion listicle commissioning</w:t>
      </w:r>
      <w:r>
        <w:rPr>
          <w:rFonts w:ascii="Helvetica" w:hAnsi="Helvetica"/>
          <w:color w:val="1A4FBF"/>
          <w:sz w:val="21"/>
        </w:rPr>
        <w:t xml:space="preserve"> — "Best STR Revenue Management Companies 2026" — required to capture the ~60 Peec vendor-discovery prompts that this pillar can't.</w:t>
      </w:r>
    </w:p>
    <w:p>
      <w:pPr>
        <w:pStyle w:val="ListBullet"/>
        <w:spacing w:after="40"/>
        <w:ind w:left="576"/>
        <w:pBdr>
          <w:left w:val="single" w:sz="24" w:space="8" w:color="1A4FBF"/>
        </w:pBdr>
        <w:shd w:val="clear" w:color="auto" w:fill="F0F5FF"/>
      </w:pPr>
      <w:r>
        <w:rPr>
          <w:rFonts w:ascii="Helvetica" w:hAnsi="Helvetica"/>
          <w:b/>
          <w:color w:val="1A4FBF"/>
          <w:sz w:val="21"/>
        </w:rPr>
        <w:t>4. Brand disambiguation vs Refactor.ai</w:t>
      </w:r>
      <w:r>
        <w:rPr>
          <w:rFonts w:ascii="Helvetica" w:hAnsi="Helvetica"/>
          <w:color w:val="1A4FBF"/>
          <w:sz w:val="21"/>
        </w:rPr>
        <w:t xml:space="preserve"> — Phase 1, Week 1: llms.txt entity statement, Wikidata entry, schema sameAs locks pointing at revfactor.io, Federico's Person schema with explicit "Founder of RevFactor (revfactor.io)" string.</w:t>
      </w:r>
    </w:p>
    <w:p>
      <w:pPr>
        <w:pStyle w:val="ListBullet"/>
        <w:spacing w:after="40"/>
        <w:ind w:left="576"/>
        <w:pBdr>
          <w:left w:val="single" w:sz="24" w:space="8" w:color="1A4FBF"/>
        </w:pBdr>
        <w:shd w:val="clear" w:color="auto" w:fill="F0F5FF"/>
      </w:pPr>
      <w:r>
        <w:rPr>
          <w:rFonts w:ascii="Helvetica" w:hAnsi="Helvetica"/>
          <w:b/>
          <w:color w:val="1A4FBF"/>
          <w:sz w:val="21"/>
        </w:rPr>
        <w:t>5. Verification list for Federico</w:t>
      </w:r>
      <w:r>
        <w:rPr>
          <w:rFonts w:ascii="Helvetica" w:hAnsi="Helvetica"/>
          <w:color w:val="1A4FBF"/>
          <w:sz w:val="21"/>
        </w:rPr>
        <w:t xml:space="preserve"> before drafting (most already verified in Onboarding):</w:t>
      </w:r>
    </w:p>
    <w:p>
      <w:pPr>
        <w:pStyle w:val="ListBullet"/>
        <w:spacing w:after="40"/>
        <w:ind w:left="576"/>
        <w:pBdr>
          <w:left w:val="single" w:sz="24" w:space="8" w:color="1A4FBF"/>
        </w:pBdr>
        <w:shd w:val="clear" w:color="auto" w:fill="F0F5FF"/>
      </w:pPr>
      <w:r>
        <w:rPr>
          <w:rFonts w:ascii="Helvetica" w:hAnsi="Helvetica"/>
          <w:color w:val="1A4FBF"/>
          <w:sz w:val="21"/>
        </w:rPr>
        <w:t>Fort Worth $20K case ✓ (confirmed in Onboarding §4.2)</w:t>
      </w:r>
    </w:p>
    <w:p>
      <w:pPr>
        <w:pStyle w:val="ListBullet"/>
        <w:spacing w:after="40"/>
        <w:ind w:left="576"/>
        <w:pBdr>
          <w:left w:val="single" w:sz="24" w:space="8" w:color="1A4FBF"/>
        </w:pBdr>
        <w:shd w:val="clear" w:color="auto" w:fill="F0F5FF"/>
      </w:pPr>
      <w:r>
        <w:rPr>
          <w:rFonts w:ascii="Helvetica" w:hAnsi="Helvetica"/>
          <w:color w:val="1A4FBF"/>
          <w:sz w:val="21"/>
        </w:rPr>
        <w:t>Nashville $4,200→$15,900 case ✓ (confirmed)</w:t>
      </w:r>
    </w:p>
    <w:p>
      <w:pPr>
        <w:pStyle w:val="ListBullet"/>
        <w:spacing w:after="40"/>
        <w:ind w:left="576"/>
        <w:pBdr>
          <w:left w:val="single" w:sz="24" w:space="8" w:color="1A4FBF"/>
        </w:pBdr>
        <w:shd w:val="clear" w:color="auto" w:fill="F0F5FF"/>
      </w:pPr>
      <w:r>
        <w:rPr>
          <w:rFonts w:ascii="Helvetica" w:hAnsi="Helvetica"/>
          <w:color w:val="1A4FBF"/>
          <w:sz w:val="21"/>
        </w:rPr>
        <w:t>Newport Beach 2-night minimum case ✓ (confirmed)</w:t>
      </w:r>
    </w:p>
    <w:p>
      <w:pPr>
        <w:pStyle w:val="ListBullet"/>
        <w:spacing w:after="40"/>
        <w:ind w:left="576"/>
        <w:pBdr>
          <w:left w:val="single" w:sz="24" w:space="8" w:color="1A4FBF"/>
        </w:pBdr>
        <w:shd w:val="clear" w:color="auto" w:fill="F0F5FF"/>
      </w:pPr>
      <w:r>
        <w:rPr>
          <w:rFonts w:ascii="Helvetica" w:hAnsi="Helvetica"/>
          <w:color w:val="1A4FBF"/>
          <w:sz w:val="21"/>
        </w:rPr>
        <w:t>+18% portfolio average — confirm sample size and time period; this is the lift number that should appear in the article (not 8%)</w:t>
      </w:r>
    </w:p>
    <w:p>
      <w:pPr>
        <w:pStyle w:val="ListBullet"/>
        <w:spacing w:after="40"/>
        <w:ind w:left="576"/>
        <w:pBdr>
          <w:left w:val="single" w:sz="24" w:space="8" w:color="1A4FBF"/>
        </w:pBdr>
        <w:shd w:val="clear" w:color="auto" w:fill="F0F5FF"/>
      </w:pPr>
      <w:r>
        <w:rPr>
          <w:rFonts w:ascii="Helvetica" w:hAnsi="Helvetica"/>
          <w:color w:val="1A4FBF"/>
          <w:sz w:val="21"/>
        </w:rPr>
        <w:t>Kate Henry +75%, Kassidy &amp; Erin Warren +20% — already on PPC page ✓ (confirmed)</w:t>
      </w:r>
    </w:p>
    <w:p>
      <w:pPr>
        <w:pStyle w:val="ListBullet"/>
        <w:spacing w:after="40"/>
        <w:ind w:left="576"/>
        <w:pBdr>
          <w:left w:val="single" w:sz="24" w:space="8" w:color="1A4FBF"/>
        </w:pBdr>
        <w:shd w:val="clear" w:color="auto" w:fill="F0F5FF"/>
      </w:pPr>
      <w:r>
        <w:rPr>
          <w:rFonts w:ascii="Helvetica" w:hAnsi="Helvetica"/>
          <w:color w:val="1A4FBF"/>
          <w:sz w:val="21"/>
        </w:rPr>
        <w:t>Market Position Score / Pricing Health Index ✓ (confirmed real, Features.jsx)</w:t>
      </w:r>
    </w:p>
    <w:p>
      <w:pPr>
        <w:pStyle w:val="ListBullet"/>
        <w:spacing w:after="40"/>
        <w:ind w:left="576"/>
        <w:pBdr>
          <w:left w:val="single" w:sz="24" w:space="8" w:color="1A4FBF"/>
        </w:pBdr>
        <w:shd w:val="clear" w:color="auto" w:fill="F0F5FF"/>
      </w:pPr>
      <w:r>
        <w:rPr>
          <w:rFonts w:ascii="Helvetica" w:hAnsi="Helvetica"/>
          <w:b/>
          <w:color w:val="1A4FBF"/>
          <w:sz w:val="21"/>
        </w:rPr>
        <w:t>6. Schema package to spec to GetCito:</w:t>
      </w:r>
      <w:r>
        <w:rPr>
          <w:rFonts w:ascii="Helvetica" w:hAnsi="Helvetica"/>
          <w:color w:val="1A4FBF"/>
          <w:sz w:val="21"/>
        </w:rPr>
        <w:t xml:space="preserve"> Article + Person (Federico, with credentials + sameAs LinkedIn / TikTok / IG / YouTube / podcast feeds) + BreadcrumbList + FAQPage + DefinedTerm (Section 3) + HowTo (Section 10 plays).</w:t>
      </w:r>
    </w:p>
    <w:p>
      <w:pPr>
        <w:pStyle w:val="ListBullet"/>
        <w:spacing w:after="40"/>
        <w:ind w:left="576"/>
        <w:pBdr>
          <w:left w:val="single" w:sz="24" w:space="8" w:color="1A4FBF"/>
        </w:pBdr>
        <w:shd w:val="clear" w:color="auto" w:fill="F0F5FF"/>
      </w:pPr>
      <w:r>
        <w:rPr>
          <w:rFonts w:ascii="Helvetica" w:hAnsi="Helvetica"/>
          <w:b/>
          <w:color w:val="1A4FBF"/>
          <w:sz w:val="21"/>
        </w:rPr>
        <w:t>7. Internal links the pillar should receive:</w:t>
      </w:r>
      <w:r>
        <w:rPr>
          <w:rFonts w:ascii="Helvetica" w:hAnsi="Helvetica"/>
          <w:color w:val="1A4FBF"/>
          <w:sz w:val="21"/>
        </w:rPr>
        <w:t xml:space="preserve"> homepage hero or Philosophy section, /about, /short-term-rental-consultant, every existing blog post, the new companion listicle. Specify these to whoever pushes the page live.</w:t>
      </w:r>
    </w:p>
    <w:p>
      <w:pPr>
        <w:pStyle w:val="ListBullet"/>
        <w:spacing w:after="40"/>
        <w:ind w:left="576"/>
        <w:pBdr>
          <w:left w:val="single" w:sz="24" w:space="8" w:color="1A4FBF"/>
        </w:pBdr>
        <w:shd w:val="clear" w:color="auto" w:fill="F0F5FF"/>
      </w:pPr>
      <w:r>
        <w:rPr>
          <w:rFonts w:ascii="Helvetica" w:hAnsi="Helvetica"/>
          <w:b/>
          <w:color w:val="1A4FBF"/>
          <w:sz w:val="21"/>
        </w:rPr>
        <w:t>8. Internal links from the pillar:</w:t>
      </w:r>
      <w:r>
        <w:rPr>
          <w:rFonts w:ascii="Helvetica" w:hAnsi="Helvetica"/>
          <w:color w:val="1A4FBF"/>
          <w:sz w:val="21"/>
        </w:rPr>
        <w:t xml:space="preserve"> /short-term-rental-consultant (service), /about (Federico bio), the existing blog post if option (b) is chosen, the new listicle once it exists.</w:t>
      </w:r>
    </w:p>
    <w:p>
      <w:pPr>
        <w:pStyle w:val="ListBullet"/>
        <w:spacing w:after="40"/>
        <w:ind w:left="576"/>
        <w:pBdr>
          <w:left w:val="single" w:sz="24" w:space="8" w:color="1A4FBF"/>
        </w:pBdr>
        <w:shd w:val="clear" w:color="auto" w:fill="F0F5FF"/>
      </w:pPr>
      <w:r>
        <w:rPr>
          <w:rFonts w:ascii="Helvetica" w:hAnsi="Helvetica"/>
          <w:b/>
          <w:color w:val="1A4FBF"/>
          <w:sz w:val="21"/>
        </w:rPr>
        <w:t>9. POP follow-up.</w:t>
      </w:r>
      <w:r>
        <w:rPr>
          <w:rFonts w:ascii="Helvetica" w:hAnsi="Helvetica"/>
          <w:color w:val="1A4FBF"/>
          <w:sz w:val="21"/>
        </w:rPr>
        <w:t xml:space="preserve"> Current SERP is shallow (POP returned only 12 LSA terms — confirms low organic competition). Re-run POP create-report after the page is published with target URL set to the live page; expected page score target ≥ 67. Watchdog monthly.</w:t>
      </w:r>
    </w:p>
    <w:p>
      <w:pPr>
        <w:pStyle w:val="ListBullet"/>
        <w:spacing w:after="40"/>
        <w:ind w:left="576"/>
        <w:pBdr>
          <w:left w:val="single" w:sz="24" w:space="8" w:color="1A4FBF"/>
        </w:pBdr>
        <w:shd w:val="clear" w:color="auto" w:fill="F0F5FF"/>
      </w:pPr>
      <w:r>
        <w:rPr>
          <w:rFonts w:ascii="Helvetica" w:hAnsi="Helvetica"/>
          <w:b/>
          <w:color w:val="1A4FBF"/>
          <w:sz w:val="21"/>
        </w:rPr>
        <w:t>10. Peec follow-up.</w:t>
      </w:r>
      <w:r>
        <w:rPr>
          <w:rFonts w:ascii="Helvetica" w:hAnsi="Helvetica"/>
          <w:color w:val="1A4FBF"/>
          <w:sz w:val="21"/>
        </w:rPr>
        <w:t xml:space="preserve"> After publishing, monitor whether RevFactor brand visibility moves on the 8–10 educational prompts. If movement is flat after 60 days, the issue isn't the page — it's that the brand isn't yet entity-established for AI engines, which means the listicle play matters even more.</w:t>
      </w:r>
    </w:p>
    <w:p>
      <w:pPr>
        <w:pStyle w:val="ListBullet"/>
        <w:spacing w:after="40"/>
        <w:ind w:left="576"/>
        <w:pBdr>
          <w:left w:val="single" w:sz="24" w:space="8" w:color="1A4FBF"/>
        </w:pBdr>
        <w:shd w:val="clear" w:color="auto" w:fill="F0F5FF"/>
      </w:pPr>
      <w:r>
        <w:rPr>
          <w:rFonts w:ascii="Helvetica" w:hAnsi="Helvetica"/>
          <w:b/>
          <w:color w:val="1A4FBF"/>
          <w:sz w:val="21"/>
        </w:rPr>
        <w:t>11. Pricing copy standard.</w:t>
      </w:r>
      <w:r>
        <w:rPr>
          <w:rFonts w:ascii="Helvetica" w:hAnsi="Helvetica"/>
          <w:color w:val="1A4FBF"/>
          <w:sz w:val="21"/>
        </w:rPr>
        <w:t xml:space="preserve"> Strip the "1–2% management fee" line from Section 12. Use the actual flat tiers (table above) consistently across every blog post in the plan.</w:t>
      </w:r>
    </w:p>
    <w:p>
      <w:pPr>
        <w:spacing w:before="360" w:after="120"/>
        <w:pBdr>
          <w:bottom w:val="single" w:sz="6" w:space="1" w:color="CCCCCC"/>
        </w:pBdr>
      </w:pPr>
      <w:r>
        <w:rPr>
          <w:b/>
          <w:sz w:val="32"/>
        </w:rPr>
        <w:t>Additional Assets to Embed in the Pillar</w:t>
      </w:r>
    </w:p>
    <w:p>
      <w:pPr>
        <w:spacing w:before="160" w:after="40"/>
        <w:ind w:left="216"/>
        <w:pBdr>
          <w:left w:val="single" w:sz="24" w:space="8" w:color="1A4FBF"/>
        </w:pBdr>
        <w:shd w:val="clear" w:color="auto" w:fill="F0F5FF"/>
      </w:pPr>
      <w:r>
        <w:rPr>
          <w:rFonts w:ascii="Helvetica" w:hAnsi="Helvetica"/>
          <w:b/>
          <w:color w:val="0A2E80"/>
          <w:sz w:val="18"/>
        </w:rPr>
        <w:t>FEDERICO QUOTES — verbatim, mapped to specific sections</w:t>
      </w:r>
    </w:p>
    <w:p>
      <w:pPr>
        <w:spacing w:after="80"/>
        <w:ind w:left="216"/>
        <w:pBdr>
          <w:left w:val="single" w:sz="24" w:space="8" w:color="1A4FBF"/>
        </w:pBdr>
        <w:shd w:val="clear" w:color="auto" w:fill="F0F5FF"/>
      </w:pPr>
      <w:r>
        <w:rPr>
          <w:rFonts w:ascii="Helvetica" w:hAnsi="Helvetica"/>
          <w:color w:val="1A4FBF"/>
          <w:sz w:val="21"/>
        </w:rPr>
        <w:t>All sourced from Onboarding §5.4 (transcribed from his podcast/IG/YouTube content) plus the new TikTok pacing video. Lift these verbatim — AI engines cite quoted source material at higher rates than paraphrased copy. Recommended placement is one quote per section listed.</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val="clear" w:color="auto" w:fill="E0EAFF"/>
          </w:tcPr>
          <w:p>
            <w:r>
              <w:rPr>
                <w:b/>
                <w:color w:val="0A2E80"/>
                <w:sz w:val="20"/>
              </w:rPr>
              <w:t>Section</w:t>
            </w:r>
          </w:p>
        </w:tc>
        <w:tc>
          <w:tcPr>
            <w:tcW w:type="dxa" w:w="3120"/>
            <w:shd w:val="clear" w:color="auto" w:fill="E0EAFF"/>
          </w:tcPr>
          <w:p>
            <w:r>
              <w:rPr>
                <w:b/>
                <w:color w:val="0A2E80"/>
                <w:sz w:val="20"/>
              </w:rPr>
              <w:t>Federico quote (verbatim)</w:t>
            </w:r>
          </w:p>
        </w:tc>
        <w:tc>
          <w:tcPr>
            <w:tcW w:type="dxa" w:w="3120"/>
            <w:shd w:val="clear" w:color="auto" w:fill="E0EAFF"/>
          </w:tcPr>
          <w:p>
            <w:r>
              <w:rPr>
                <w:b/>
                <w:color w:val="0A2E80"/>
                <w:sz w:val="20"/>
              </w:rPr>
              <w:t>Why it fits</w:t>
            </w:r>
          </w:p>
        </w:tc>
      </w:tr>
      <w:tr>
        <w:tc>
          <w:tcPr>
            <w:tcW w:type="dxa" w:w="3120"/>
          </w:tcPr>
          <w:p>
            <w:r>
              <w:rPr>
                <w:sz w:val="19"/>
              </w:rPr>
              <w:t>Section 1 (Key Takeaways)</w:t>
            </w:r>
          </w:p>
        </w:tc>
        <w:tc>
          <w:tcPr>
            <w:tcW w:type="dxa" w:w="3120"/>
          </w:tcPr>
          <w:p>
            <w:r>
              <w:rPr>
                <w:sz w:val="19"/>
              </w:rPr>
              <w:t>"A night that is not sold can never be sold again… you have to have a little scarcity mindset."</w:t>
            </w:r>
          </w:p>
        </w:tc>
        <w:tc>
          <w:tcPr>
            <w:tcW w:type="dxa" w:w="3120"/>
          </w:tcPr>
          <w:p>
            <w:r>
              <w:rPr>
                <w:sz w:val="19"/>
              </w:rPr>
              <w:t>Perishable inventory — already echoed in Section 14</w:t>
            </w:r>
          </w:p>
        </w:tc>
      </w:tr>
      <w:tr>
        <w:tc>
          <w:tcPr>
            <w:tcW w:type="dxa" w:w="3120"/>
          </w:tcPr>
          <w:p>
            <w:r>
              <w:rPr>
                <w:sz w:val="19"/>
              </w:rPr>
              <w:t>Section 2 (Opening Hook)</w:t>
            </w:r>
          </w:p>
        </w:tc>
        <w:tc>
          <w:tcPr>
            <w:tcW w:type="dxa" w:w="3120"/>
          </w:tcPr>
          <w:p>
            <w:r>
              <w:rPr>
                <w:sz w:val="19"/>
              </w:rPr>
              <w:t>"I asked her how much she was selling. Silence."</w:t>
            </w:r>
          </w:p>
        </w:tc>
        <w:tc>
          <w:tcPr>
            <w:tcW w:type="dxa" w:w="3120"/>
          </w:tcPr>
          <w:p>
            <w:r>
              <w:rPr>
                <w:sz w:val="19"/>
              </w:rPr>
              <w:t>Already implied in the outline — surface as a verbatim line</w:t>
            </w:r>
          </w:p>
        </w:tc>
      </w:tr>
      <w:tr>
        <w:tc>
          <w:tcPr>
            <w:tcW w:type="dxa" w:w="3120"/>
          </w:tcPr>
          <w:p>
            <w:r>
              <w:rPr>
                <w:sz w:val="19"/>
              </w:rPr>
              <w:t>Section 3 (Definition)</w:t>
            </w:r>
          </w:p>
        </w:tc>
        <w:tc>
          <w:tcPr>
            <w:tcW w:type="dxa" w:w="3120"/>
          </w:tcPr>
          <w:p>
            <w:r>
              <w:rPr>
                <w:sz w:val="19"/>
              </w:rPr>
              <w:t>"Revenue management isn't just pricing. Pricing is only one part of revenue management."</w:t>
            </w:r>
          </w:p>
        </w:tc>
        <w:tc>
          <w:tcPr>
            <w:tcW w:type="dxa" w:w="3120"/>
          </w:tcPr>
          <w:p>
            <w:r>
              <w:rPr>
                <w:sz w:val="19"/>
              </w:rPr>
              <w:t>From No Vacancy Ep 155 — the cleanest definitional quote</w:t>
            </w:r>
          </w:p>
        </w:tc>
      </w:tr>
      <w:tr>
        <w:tc>
          <w:tcPr>
            <w:tcW w:type="dxa" w:w="3120"/>
          </w:tcPr>
          <w:p>
            <w:r>
              <w:rPr>
                <w:sz w:val="19"/>
              </w:rPr>
              <w:t>Section 5 (Why tools alone fail)</w:t>
            </w:r>
          </w:p>
        </w:tc>
        <w:tc>
          <w:tcPr>
            <w:tcW w:type="dxa" w:w="3120"/>
          </w:tcPr>
          <w:p>
            <w:r>
              <w:rPr>
                <w:sz w:val="19"/>
              </w:rPr>
              <w:t>"If you have an empty calendar, that's an immense number of opportunities."</w:t>
            </w:r>
          </w:p>
        </w:tc>
        <w:tc>
          <w:tcPr>
            <w:tcW w:type="dxa" w:w="3120"/>
          </w:tcPr>
          <w:p>
            <w:r>
              <w:rPr>
                <w:sz w:val="19"/>
              </w:rPr>
              <w:t>Reframes the gap as opportunity, not failure</w:t>
            </w:r>
          </w:p>
        </w:tc>
      </w:tr>
      <w:tr>
        <w:tc>
          <w:tcPr>
            <w:tcW w:type="dxa" w:w="3120"/>
          </w:tcPr>
          <w:p>
            <w:r>
              <w:rPr>
                <w:sz w:val="19"/>
              </w:rPr>
              <w:t>Section 8 (ADR vs RevPAR)</w:t>
            </w:r>
          </w:p>
        </w:tc>
        <w:tc>
          <w:tcPr>
            <w:tcW w:type="dxa" w:w="3120"/>
          </w:tcPr>
          <w:p>
            <w:r>
              <w:rPr>
                <w:sz w:val="19"/>
              </w:rPr>
              <w:t>"If you're looking only at your property, you're on an island. You don't understand how you're performing."</w:t>
            </w:r>
          </w:p>
        </w:tc>
        <w:tc>
          <w:tcPr>
            <w:tcW w:type="dxa" w:w="3120"/>
          </w:tcPr>
          <w:p>
            <w:r>
              <w:rPr>
                <w:sz w:val="19"/>
              </w:rPr>
              <w:t>Direct support for tracking RevPAR vs comp set, not in isolation</w:t>
            </w:r>
          </w:p>
        </w:tc>
      </w:tr>
      <w:tr>
        <w:tc>
          <w:tcPr>
            <w:tcW w:type="dxa" w:w="3120"/>
          </w:tcPr>
          <w:p>
            <w:r>
              <w:rPr>
                <w:sz w:val="19"/>
              </w:rPr>
              <w:t>Section 11 (Pacing) — the new pacing quote</w:t>
            </w:r>
          </w:p>
        </w:tc>
        <w:tc>
          <w:tcPr>
            <w:tcW w:type="dxa" w:w="3120"/>
          </w:tcPr>
          <w:p>
            <w:r>
              <w:rPr>
                <w:sz w:val="19"/>
              </w:rPr>
              <w:t>(see full quote in Section 11 callout above)</w:t>
            </w:r>
          </w:p>
        </w:tc>
        <w:tc>
          <w:tcPr>
            <w:tcW w:type="dxa" w:w="3120"/>
          </w:tcPr>
          <w:p>
            <w:r>
              <w:rPr>
                <w:sz w:val="19"/>
              </w:rPr>
              <w:t>TikTok @federicozimerman, April 2026</w:t>
            </w:r>
          </w:p>
        </w:tc>
      </w:tr>
      <w:tr>
        <w:tc>
          <w:tcPr>
            <w:tcW w:type="dxa" w:w="3120"/>
          </w:tcPr>
          <w:p>
            <w:r>
              <w:rPr>
                <w:sz w:val="19"/>
              </w:rPr>
              <w:t>Section 12 (DIY vs hire)</w:t>
            </w:r>
          </w:p>
        </w:tc>
        <w:tc>
          <w:tcPr>
            <w:tcW w:type="dxa" w:w="3120"/>
          </w:tcPr>
          <w:p>
            <w:r>
              <w:rPr>
                <w:sz w:val="19"/>
              </w:rPr>
              <w:t>"The market sets the prices because this is 100% consumer perception."</w:t>
            </w:r>
          </w:p>
        </w:tc>
        <w:tc>
          <w:tcPr>
            <w:tcW w:type="dxa" w:w="3120"/>
          </w:tcPr>
          <w:p>
            <w:r>
              <w:rPr>
                <w:sz w:val="19"/>
              </w:rPr>
              <w:t>Directly addresses the "I know what my property is worth" objection</w:t>
            </w:r>
          </w:p>
        </w:tc>
      </w:tr>
      <w:tr>
        <w:tc>
          <w:tcPr>
            <w:tcW w:type="dxa" w:w="3120"/>
          </w:tcPr>
          <w:p>
            <w:r>
              <w:rPr>
                <w:sz w:val="19"/>
              </w:rPr>
              <w:t>Section 13 (RevFactor approach)</w:t>
            </w:r>
          </w:p>
        </w:tc>
        <w:tc>
          <w:tcPr>
            <w:tcW w:type="dxa" w:w="3120"/>
          </w:tcPr>
          <w:p>
            <w:r>
              <w:rPr>
                <w:sz w:val="19"/>
              </w:rPr>
              <w:t>"We're handling the two most expensive assets people have — their property and their time."</w:t>
            </w:r>
          </w:p>
        </w:tc>
        <w:tc>
          <w:tcPr>
            <w:tcW w:type="dxa" w:w="3120"/>
          </w:tcPr>
          <w:p>
            <w:r>
              <w:rPr>
                <w:sz w:val="19"/>
              </w:rPr>
              <w:t>Two-Client Philosophy — the values pitch</w:t>
            </w:r>
          </w:p>
        </w:tc>
      </w:tr>
    </w:tbl>
    <w:p>
      <w:pPr>
        <w:spacing w:before="160" w:after="40"/>
        <w:ind w:left="216"/>
        <w:pBdr>
          <w:left w:val="single" w:sz="24" w:space="8" w:color="1A4FBF"/>
        </w:pBdr>
        <w:shd w:val="clear" w:color="auto" w:fill="F0F5FF"/>
      </w:pPr>
      <w:r>
        <w:rPr>
          <w:rFonts w:ascii="Helvetica" w:hAnsi="Helvetica"/>
          <w:b/>
          <w:color w:val="0A2E80"/>
          <w:sz w:val="18"/>
        </w:rPr>
        <w:t>CLIENT TESTIMONIALS — one strategic pull-quote, not a wall</w:t>
      </w:r>
    </w:p>
    <w:p>
      <w:pPr>
        <w:spacing w:after="80"/>
        <w:ind w:left="216"/>
        <w:pBdr>
          <w:left w:val="single" w:sz="24" w:space="8" w:color="1A4FBF"/>
        </w:pBdr>
        <w:shd w:val="clear" w:color="auto" w:fill="F0F5FF"/>
      </w:pPr>
      <w:r>
        <w:rPr>
          <w:rFonts w:ascii="Helvetica" w:hAnsi="Helvetica"/>
          <w:b/>
          <w:color w:val="1A4FBF"/>
          <w:sz w:val="21"/>
        </w:rPr>
        <w:t xml:space="preserve">Recommendation: </w:t>
      </w:r>
      <w:r>
        <w:rPr>
          <w:rFonts w:ascii="Helvetica" w:hAnsi="Helvetica"/>
          <w:b w:val="0"/>
          <w:color w:val="1A4FBF"/>
          <w:sz w:val="21"/>
        </w:rPr>
        <w:t>ONE testimonial pull-quote in Section 13 (How RevFactor Approaches Revenue Management) with Review schema. More than one turns the pillar into a sales page — AI engines penalize self-promotion in definitional content. Pillar 6 of the Content Strategy is where the case-study wall belongs.</w:t>
      </w:r>
    </w:p>
    <w:p>
      <w:pPr>
        <w:spacing w:after="80"/>
        <w:ind w:left="216"/>
        <w:pBdr>
          <w:left w:val="single" w:sz="24" w:space="8" w:color="1A4FBF"/>
        </w:pBdr>
        <w:shd w:val="clear" w:color="auto" w:fill="F0F5FF"/>
      </w:pPr>
      <w:r>
        <w:rPr>
          <w:rFonts w:ascii="Helvetica" w:hAnsi="Helvetica"/>
          <w:color w:val="1A4FBF"/>
          <w:sz w:val="21"/>
        </w:rPr>
        <w:t>Best candidate from Onboarding §4.2:</w:t>
      </w:r>
    </w:p>
    <w:p>
      <w:pPr>
        <w:spacing w:after="40"/>
        <w:ind w:left="720" w:right="432"/>
        <w:pBdr>
          <w:left w:val="single" w:sz="24" w:space="8" w:color="1A4FBF"/>
        </w:pBdr>
        <w:shd w:val="clear" w:color="auto" w:fill="F0F5FF"/>
      </w:pPr>
      <w:r>
        <w:rPr>
          <w:rFonts w:ascii="Helvetica" w:hAnsi="Helvetica"/>
          <w:i/>
          <w:color w:val="1A4FBF"/>
          <w:sz w:val="22"/>
        </w:rPr>
        <w:t>"Since starting with RevFactor, I've had this peace of mind that my pricing strategy is on point, competitive, and I don't have to be watching the calendar. I don't have to be in PriceLabs. Most months, I've seen a 20% increase in revenue."</w:t>
      </w:r>
    </w:p>
    <w:p>
      <w:pPr>
        <w:spacing w:after="160"/>
        <w:ind w:left="720"/>
        <w:pBdr>
          <w:left w:val="single" w:sz="24" w:space="8" w:color="1A4FBF"/>
        </w:pBdr>
        <w:shd w:val="clear" w:color="auto" w:fill="F0F5FF"/>
      </w:pPr>
      <w:r>
        <w:rPr>
          <w:rFonts w:ascii="Helvetica" w:hAnsi="Helvetica"/>
          <w:b/>
          <w:color w:val="1A4FBF"/>
          <w:sz w:val="19"/>
        </w:rPr>
        <w:t>— Kassidy &amp; Erin Warren, RevFactor clients (verified, kassidywarren.com)</w:t>
      </w:r>
    </w:p>
    <w:p>
      <w:pPr>
        <w:spacing w:after="80"/>
        <w:ind w:left="216"/>
        <w:pBdr>
          <w:left w:val="single" w:sz="24" w:space="8" w:color="1A4FBF"/>
        </w:pBdr>
        <w:shd w:val="clear" w:color="auto" w:fill="F0F5FF"/>
      </w:pPr>
      <w:r>
        <w:rPr>
          <w:rFonts w:ascii="Helvetica" w:hAnsi="Helvetica"/>
          <w:b/>
          <w:color w:val="1A4FBF"/>
          <w:sz w:val="21"/>
        </w:rPr>
        <w:t xml:space="preserve">Why this one over the +75% Kate Henry quote: </w:t>
      </w:r>
      <w:r>
        <w:rPr>
          <w:rFonts w:ascii="Helvetica" w:hAnsi="Helvetica"/>
          <w:b w:val="0"/>
          <w:color w:val="1A4FBF"/>
          <w:sz w:val="21"/>
        </w:rPr>
        <w:t>Kate Henry's lift is closer to the live-site +18% portfolio average; her +75% is the top-end outlier (and should appear in the case-study pillar). Kassidy &amp; Erin Warren's quote pairs the revenue lift with the lifestyle benefit ("peace of mind, don't have to watch the calendar") — that matches the ICP this pillar is targeting (3–15 properties, growing quality operator). Schema: wrap in Review with itemReviewed = RevFactor's Service entity, ratingValue = 5, author = the Warrens.</w:t>
      </w:r>
    </w:p>
    <w:p>
      <w:pPr>
        <w:spacing w:after="80"/>
        <w:ind w:left="216"/>
        <w:pBdr>
          <w:left w:val="single" w:sz="24" w:space="8" w:color="1A4FBF"/>
        </w:pBdr>
        <w:shd w:val="clear" w:color="auto" w:fill="F0F5FF"/>
      </w:pPr>
      <w:r>
        <w:rPr>
          <w:rFonts w:ascii="Helvetica" w:hAnsi="Helvetica"/>
          <w:b/>
          <w:color w:val="1A4FBF"/>
          <w:sz w:val="21"/>
        </w:rPr>
        <w:t xml:space="preserve">Alternative if you prefer named-and-results: </w:t>
      </w:r>
      <w:r>
        <w:rPr>
          <w:rFonts w:ascii="Helvetica" w:hAnsi="Helvetica"/>
          <w:b w:val="0"/>
          <w:color w:val="1A4FBF"/>
          <w:sz w:val="21"/>
        </w:rPr>
        <w:t>Sarah from The Kawrells (already on the live site) — "In my humble opinion, there is no better revenue manager out there" — paired with property location/type once Federico fills in the missing metadata (currently TODO in code per Onboarding §4.2).</w:t>
      </w:r>
    </w:p>
    <w:p>
      <w:pPr>
        <w:spacing w:before="160" w:after="40"/>
        <w:ind w:left="216"/>
        <w:pBdr>
          <w:left w:val="single" w:sz="24" w:space="8" w:color="1A4FBF"/>
        </w:pBdr>
        <w:shd w:val="clear" w:color="auto" w:fill="F0F5FF"/>
      </w:pPr>
      <w:r>
        <w:rPr>
          <w:rFonts w:ascii="Helvetica" w:hAnsi="Helvetica"/>
          <w:b/>
          <w:color w:val="0A2E80"/>
          <w:sz w:val="18"/>
        </w:rPr>
        <w:t>PODCAST CITATIONS — schema, not body text</w:t>
      </w:r>
    </w:p>
    <w:p>
      <w:pPr>
        <w:spacing w:after="80"/>
        <w:ind w:left="216"/>
        <w:pBdr>
          <w:left w:val="single" w:sz="24" w:space="8" w:color="1A4FBF"/>
        </w:pBdr>
        <w:shd w:val="clear" w:color="auto" w:fill="F0F5FF"/>
      </w:pPr>
      <w:r>
        <w:rPr>
          <w:rFonts w:ascii="Helvetica" w:hAnsi="Helvetica"/>
          <w:b/>
          <w:color w:val="1A4FBF"/>
          <w:sz w:val="21"/>
        </w:rPr>
        <w:t xml:space="preserve">Direct answer: </w:t>
      </w:r>
      <w:r>
        <w:rPr>
          <w:rFonts w:ascii="Helvetica" w:hAnsi="Helvetica"/>
          <w:b w:val="0"/>
          <w:color w:val="1A4FBF"/>
          <w:sz w:val="21"/>
        </w:rPr>
        <w:t>citing all 9 podcasts in the body would dilute the page; doing it in schema + author bio is ideal. Three placements:</w:t>
      </w:r>
    </w:p>
    <w:p>
      <w:pPr>
        <w:pStyle w:val="ListBullet"/>
        <w:spacing w:after="40"/>
        <w:ind w:left="576"/>
        <w:pBdr>
          <w:left w:val="single" w:sz="24" w:space="8" w:color="1A4FBF"/>
        </w:pBdr>
        <w:shd w:val="clear" w:color="auto" w:fill="F0F5FF"/>
      </w:pPr>
      <w:r>
        <w:rPr>
          <w:rFonts w:ascii="Helvetica" w:hAnsi="Helvetica"/>
          <w:b/>
          <w:color w:val="1A4FBF"/>
          <w:sz w:val="21"/>
        </w:rPr>
        <w:t>1. Person schema sameAs array</w:t>
      </w:r>
      <w:r>
        <w:rPr>
          <w:rFonts w:ascii="Helvetica" w:hAnsi="Helvetica"/>
          <w:color w:val="1A4FBF"/>
          <w:sz w:val="21"/>
        </w:rPr>
        <w:t xml:space="preserve"> in the page-level Person schema for Federico, listing all 9 podcast episode URLs (No Vacancy Ep 155, Ep 106, STR Like The Best Ep 54, Patryk Real Estate Show, Live Let Thrive, Life of Flow Ep 93, Catchup with the Carlyles, For Your Own Good, Craft Stays). This is the highest-leverage placement — AI engines weight Person.sameAs entries heavily for credibility.</w:t>
      </w:r>
    </w:p>
    <w:p>
      <w:pPr>
        <w:pStyle w:val="ListBullet"/>
        <w:spacing w:after="40"/>
        <w:ind w:left="576"/>
        <w:pBdr>
          <w:left w:val="single" w:sz="24" w:space="8" w:color="1A4FBF"/>
        </w:pBdr>
        <w:shd w:val="clear" w:color="auto" w:fill="F0F5FF"/>
      </w:pPr>
      <w:r>
        <w:rPr>
          <w:rFonts w:ascii="Helvetica" w:hAnsi="Helvetica"/>
          <w:b/>
          <w:color w:val="1A4FBF"/>
          <w:sz w:val="21"/>
        </w:rPr>
        <w:t>2. "As featured on:"</w:t>
      </w:r>
      <w:r>
        <w:rPr>
          <w:rFonts w:ascii="Helvetica" w:hAnsi="Helvetica"/>
          <w:color w:val="1A4FBF"/>
          <w:sz w:val="21"/>
        </w:rPr>
        <w:t xml:space="preserve"> block at the bottom (or sidebar): "Federico Zimerman has been featured on No Vacancy with Natalie Palmer, STR Like The Best, Life of Flow…" with linked episode titles. Builds page-level E-E-A-T independent of schema.</w:t>
      </w:r>
    </w:p>
    <w:p>
      <w:pPr>
        <w:pStyle w:val="ListBullet"/>
        <w:spacing w:after="40"/>
        <w:ind w:left="576"/>
        <w:pBdr>
          <w:left w:val="single" w:sz="24" w:space="8" w:color="1A4FBF"/>
        </w:pBdr>
        <w:shd w:val="clear" w:color="auto" w:fill="F0F5FF"/>
      </w:pPr>
      <w:r>
        <w:rPr>
          <w:rFonts w:ascii="Helvetica" w:hAnsi="Helvetica"/>
          <w:b/>
          <w:color w:val="1A4FBF"/>
          <w:sz w:val="21"/>
        </w:rPr>
        <w:t>3. Inline reference</w:t>
      </w:r>
      <w:r>
        <w:rPr>
          <w:rFonts w:ascii="Helvetica" w:hAnsi="Helvetica"/>
          <w:color w:val="1A4FBF"/>
          <w:sz w:val="21"/>
        </w:rPr>
        <w:t xml:space="preserve"> 1–2 in-text citations to the most relevant episode. Best fit: Section 9 (the 6 mistakes) ↔ "As I shared on No Vacancy Ep 155 with Natalie Palmer, the most common mistake I see is…" — gives a real source for the case studies that follow (Fort Worth, Nashville, Newport Beach all came from that episode per Onboarding §4.2). Don't over-do this — one or two in-text references max.</w:t>
      </w:r>
    </w:p>
    <w:p>
      <w:pPr>
        <w:spacing w:after="80"/>
        <w:ind w:left="216"/>
        <w:pBdr>
          <w:left w:val="single" w:sz="24" w:space="8" w:color="1A4FBF"/>
        </w:pBdr>
        <w:shd w:val="clear" w:color="auto" w:fill="F0F5FF"/>
      </w:pPr>
      <w:r>
        <w:rPr>
          <w:rFonts w:ascii="Helvetica" w:hAnsi="Helvetica"/>
          <w:b/>
          <w:color w:val="1A4FBF"/>
          <w:sz w:val="21"/>
        </w:rPr>
        <w:t xml:space="preserve">Why podcast citations matter for AEO specifically: </w:t>
      </w:r>
      <w:r>
        <w:rPr>
          <w:rFonts w:ascii="Helvetica" w:hAnsi="Helvetica"/>
          <w:b w:val="0"/>
          <w:color w:val="1A4FBF"/>
          <w:sz w:val="21"/>
        </w:rPr>
        <w:t>ChatGPT and Perplexity both weight "named-expert mentioned across multiple authoritative third-party sources" as a top trust signal. Federico has 9 verified appearances, giving him a measurable third-party footprint that most STR pricing experts don't have. The pillar should surface this — not bury it.</w:t>
      </w:r>
    </w:p>
    <w:p>
      <w:pPr>
        <w:spacing w:before="360" w:after="120"/>
        <w:pBdr>
          <w:bottom w:val="single" w:sz="6" w:space="1" w:color="CCCCCC"/>
        </w:pBdr>
      </w:pPr>
      <w:r>
        <w:rPr>
          <w:b/>
          <w:sz w:val="32"/>
        </w:rPr>
        <w:t>Backlink Audit — 38 placements built by GetCito (23-Apr → 03-May)</w:t>
      </w:r>
    </w:p>
    <w:p>
      <w:pPr>
        <w:spacing w:before="160" w:after="40"/>
        <w:ind w:left="216"/>
        <w:pBdr>
          <w:left w:val="single" w:sz="24" w:space="8" w:color="1A4FBF"/>
        </w:pBdr>
        <w:shd w:val="clear" w:color="auto" w:fill="F0F5FF"/>
      </w:pPr>
      <w:r>
        <w:rPr>
          <w:rFonts w:ascii="Helvetica" w:hAnsi="Helvetica"/>
          <w:b/>
          <w:color w:val="0A2E80"/>
          <w:sz w:val="18"/>
        </w:rPr>
        <w:t>AHREFS-DERIVED SPAM SIGNAL — every domain checked 2026-04-29</w:t>
      </w:r>
    </w:p>
    <w:p>
      <w:pPr>
        <w:spacing w:after="80"/>
        <w:ind w:left="216"/>
        <w:pBdr>
          <w:left w:val="single" w:sz="24" w:space="8" w:color="1A4FBF"/>
        </w:pBdr>
        <w:shd w:val="clear" w:color="auto" w:fill="F0F5FF"/>
      </w:pPr>
      <w:r>
        <w:rPr>
          <w:rFonts w:ascii="Helvetica" w:hAnsi="Helvetica"/>
          <w:color w:val="1A4FBF"/>
          <w:sz w:val="21"/>
        </w:rPr>
        <w:t>Note: Direct Moz Spam Score requires Moz API access (not configured in this environment). The Ahrefs-derived spam signal below uses the same underlying detection pattern: artificial DR with no real organic performance (0 traffic + 0 keywords) is the classic PBN/link-farm signature Google's spam classifier targets.</w:t>
      </w:r>
    </w:p>
    <w:p>
      <w:pPr>
        <w:spacing w:after="80"/>
        <w:ind w:left="216"/>
        <w:pBdr>
          <w:left w:val="single" w:sz="24" w:space="8" w:color="1A4FBF"/>
        </w:pBdr>
        <w:shd w:val="clear" w:color="auto" w:fill="F0F5FF"/>
      </w:pPr>
      <w:r>
        <w:rPr>
          <w:rFonts w:ascii="Helvetica" w:hAnsi="Helvetica"/>
          <w:color w:val="1A4FBF"/>
          <w:sz w:val="21"/>
        </w:rPr>
        <w:t>The Backlink Strategy doc promised: "Spammy or low-trust platforms do not appear in our submission list — the 17% spam score cannot afford additional exposure to bad neighbourhoods." The execution did the opposite.</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E0EAFF"/>
          </w:tcPr>
          <w:p>
            <w:r>
              <w:rPr>
                <w:b/>
                <w:color w:val="0A2E80"/>
                <w:sz w:val="20"/>
              </w:rPr>
              <w:t>Domain</w:t>
            </w:r>
          </w:p>
        </w:tc>
        <w:tc>
          <w:tcPr>
            <w:tcW w:type="dxa" w:w="1872"/>
            <w:shd w:val="clear" w:color="auto" w:fill="E0EAFF"/>
          </w:tcPr>
          <w:p>
            <w:r>
              <w:rPr>
                <w:b/>
                <w:color w:val="0A2E80"/>
                <w:sz w:val="20"/>
              </w:rPr>
              <w:t>DR</w:t>
            </w:r>
          </w:p>
        </w:tc>
        <w:tc>
          <w:tcPr>
            <w:tcW w:type="dxa" w:w="1872"/>
            <w:shd w:val="clear" w:color="auto" w:fill="E0EAFF"/>
          </w:tcPr>
          <w:p>
            <w:r>
              <w:rPr>
                <w:b/>
                <w:color w:val="0A2E80"/>
                <w:sz w:val="20"/>
              </w:rPr>
              <w:t>Org Traffic</w:t>
            </w:r>
          </w:p>
        </w:tc>
        <w:tc>
          <w:tcPr>
            <w:tcW w:type="dxa" w:w="1872"/>
            <w:shd w:val="clear" w:color="auto" w:fill="E0EAFF"/>
          </w:tcPr>
          <w:p>
            <w:r>
              <w:rPr>
                <w:b/>
                <w:color w:val="0A2E80"/>
                <w:sz w:val="20"/>
              </w:rPr>
              <w:t>Org Keywords</w:t>
            </w:r>
          </w:p>
        </w:tc>
        <w:tc>
          <w:tcPr>
            <w:tcW w:type="dxa" w:w="1872"/>
            <w:shd w:val="clear" w:color="auto" w:fill="E0EAFF"/>
          </w:tcPr>
          <w:p>
            <w:r>
              <w:rPr>
                <w:b/>
                <w:color w:val="0A2E80"/>
                <w:sz w:val="20"/>
              </w:rPr>
              <w:t>Verdict</w:t>
            </w:r>
          </w:p>
        </w:tc>
      </w:tr>
      <w:tr>
        <w:tc>
          <w:tcPr>
            <w:tcW w:type="dxa" w:w="1872"/>
            <w:shd w:val="clear" w:color="auto" w:fill="FFE5E5"/>
          </w:tcPr>
          <w:p>
            <w:r>
              <w:rPr>
                <w:sz w:val="19"/>
              </w:rPr>
              <w:t>realbookmarking.com</w:t>
            </w:r>
          </w:p>
        </w:tc>
        <w:tc>
          <w:tcPr>
            <w:tcW w:type="dxa" w:w="1872"/>
            <w:shd w:val="clear" w:color="auto" w:fill="FFE5E5"/>
          </w:tcPr>
          <w:p>
            <w:r>
              <w:rPr>
                <w:sz w:val="19"/>
              </w:rPr>
              <w:t>29</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rbookmarking.com</w:t>
            </w:r>
          </w:p>
        </w:tc>
        <w:tc>
          <w:tcPr>
            <w:tcW w:type="dxa" w:w="1872"/>
            <w:shd w:val="clear" w:color="auto" w:fill="FFE5E5"/>
          </w:tcPr>
          <w:p>
            <w:r>
              <w:rPr>
                <w:sz w:val="19"/>
              </w:rPr>
              <w:t>22</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ubookmarking.com</w:t>
            </w:r>
          </w:p>
        </w:tc>
        <w:tc>
          <w:tcPr>
            <w:tcW w:type="dxa" w:w="1872"/>
            <w:shd w:val="clear" w:color="auto" w:fill="FFE5E5"/>
          </w:tcPr>
          <w:p>
            <w:r>
              <w:rPr>
                <w:sz w:val="19"/>
              </w:rPr>
              <w:t>36</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sbookmarking.com</w:t>
            </w:r>
          </w:p>
        </w:tc>
        <w:tc>
          <w:tcPr>
            <w:tcW w:type="dxa" w:w="1872"/>
            <w:shd w:val="clear" w:color="auto" w:fill="FFE5E5"/>
          </w:tcPr>
          <w:p>
            <w:r>
              <w:rPr>
                <w:sz w:val="19"/>
              </w:rPr>
              <w:t>40</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abookmarking.com</w:t>
            </w:r>
          </w:p>
        </w:tc>
        <w:tc>
          <w:tcPr>
            <w:tcW w:type="dxa" w:w="1872"/>
            <w:shd w:val="clear" w:color="auto" w:fill="FFE5E5"/>
          </w:tcPr>
          <w:p>
            <w:r>
              <w:rPr>
                <w:sz w:val="19"/>
              </w:rPr>
              <w:t>38</w:t>
            </w:r>
          </w:p>
        </w:tc>
        <w:tc>
          <w:tcPr>
            <w:tcW w:type="dxa" w:w="1872"/>
            <w:shd w:val="clear" w:color="auto" w:fill="FFE5E5"/>
          </w:tcPr>
          <w:p>
            <w:r>
              <w:rPr>
                <w:sz w:val="19"/>
              </w:rPr>
              <w:t>0</w:t>
            </w:r>
          </w:p>
        </w:tc>
        <w:tc>
          <w:tcPr>
            <w:tcW w:type="dxa" w:w="1872"/>
            <w:shd w:val="clear" w:color="auto" w:fill="FFE5E5"/>
          </w:tcPr>
          <w:p>
            <w:r>
              <w:rPr>
                <w:sz w:val="19"/>
              </w:rPr>
              <w:t>12</w:t>
            </w:r>
          </w:p>
        </w:tc>
        <w:tc>
          <w:tcPr>
            <w:tcW w:type="dxa" w:w="1872"/>
            <w:shd w:val="clear" w:color="auto" w:fill="FFE5E5"/>
          </w:tcPr>
          <w:p>
            <w:r>
              <w:rPr>
                <w:sz w:val="19"/>
              </w:rPr>
              <w:t>🔴 Disavow</w:t>
            </w:r>
          </w:p>
        </w:tc>
      </w:tr>
      <w:tr>
        <w:tc>
          <w:tcPr>
            <w:tcW w:type="dxa" w:w="1872"/>
            <w:shd w:val="clear" w:color="auto" w:fill="FFE5E5"/>
          </w:tcPr>
          <w:p>
            <w:r>
              <w:rPr>
                <w:sz w:val="19"/>
              </w:rPr>
              <w:t>pbookmarking.com</w:t>
            </w:r>
          </w:p>
        </w:tc>
        <w:tc>
          <w:tcPr>
            <w:tcW w:type="dxa" w:w="1872"/>
            <w:shd w:val="clear" w:color="auto" w:fill="FFE5E5"/>
          </w:tcPr>
          <w:p>
            <w:r>
              <w:rPr>
                <w:sz w:val="19"/>
              </w:rPr>
              <w:t>33</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ybookmarking.com</w:t>
            </w:r>
          </w:p>
        </w:tc>
        <w:tc>
          <w:tcPr>
            <w:tcW w:type="dxa" w:w="1872"/>
            <w:shd w:val="clear" w:color="auto" w:fill="FFE5E5"/>
          </w:tcPr>
          <w:p>
            <w:r>
              <w:rPr>
                <w:sz w:val="19"/>
              </w:rPr>
              <w:t>41</w:t>
            </w:r>
          </w:p>
        </w:tc>
        <w:tc>
          <w:tcPr>
            <w:tcW w:type="dxa" w:w="1872"/>
            <w:shd w:val="clear" w:color="auto" w:fill="FFE5E5"/>
          </w:tcPr>
          <w:p>
            <w:r>
              <w:rPr>
                <w:sz w:val="19"/>
              </w:rPr>
              <w:t>0</w:t>
            </w:r>
          </w:p>
        </w:tc>
        <w:tc>
          <w:tcPr>
            <w:tcW w:type="dxa" w:w="1872"/>
            <w:shd w:val="clear" w:color="auto" w:fill="FFE5E5"/>
          </w:tcPr>
          <w:p>
            <w:r>
              <w:rPr>
                <w:sz w:val="19"/>
              </w:rPr>
              <w:t>4</w:t>
            </w:r>
          </w:p>
        </w:tc>
        <w:tc>
          <w:tcPr>
            <w:tcW w:type="dxa" w:w="1872"/>
            <w:shd w:val="clear" w:color="auto" w:fill="FFE5E5"/>
          </w:tcPr>
          <w:p>
            <w:r>
              <w:rPr>
                <w:sz w:val="19"/>
              </w:rPr>
              <w:t>🔴 Disavow</w:t>
            </w:r>
          </w:p>
        </w:tc>
      </w:tr>
      <w:tr>
        <w:tc>
          <w:tcPr>
            <w:tcW w:type="dxa" w:w="1872"/>
            <w:shd w:val="clear" w:color="auto" w:fill="FFE5E5"/>
          </w:tcPr>
          <w:p>
            <w:r>
              <w:rPr>
                <w:sz w:val="19"/>
              </w:rPr>
              <w:t>starbookmarking.com</w:t>
            </w:r>
          </w:p>
        </w:tc>
        <w:tc>
          <w:tcPr>
            <w:tcW w:type="dxa" w:w="1872"/>
            <w:shd w:val="clear" w:color="auto" w:fill="FFE5E5"/>
          </w:tcPr>
          <w:p>
            <w:r>
              <w:rPr>
                <w:sz w:val="19"/>
              </w:rPr>
              <w:t>36</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bookmarkingfree.com</w:t>
            </w:r>
          </w:p>
        </w:tc>
        <w:tc>
          <w:tcPr>
            <w:tcW w:type="dxa" w:w="1872"/>
            <w:shd w:val="clear" w:color="auto" w:fill="FFE5E5"/>
          </w:tcPr>
          <w:p>
            <w:r>
              <w:rPr>
                <w:sz w:val="19"/>
              </w:rPr>
              <w:t>37</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letsdobookmark.com</w:t>
            </w:r>
          </w:p>
        </w:tc>
        <w:tc>
          <w:tcPr>
            <w:tcW w:type="dxa" w:w="1872"/>
            <w:shd w:val="clear" w:color="auto" w:fill="FFE5E5"/>
          </w:tcPr>
          <w:p>
            <w:r>
              <w:rPr>
                <w:sz w:val="19"/>
              </w:rPr>
              <w:t>46</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freewebmarks.com</w:t>
            </w:r>
          </w:p>
        </w:tc>
        <w:tc>
          <w:tcPr>
            <w:tcW w:type="dxa" w:w="1872"/>
            <w:shd w:val="clear" w:color="auto" w:fill="FFE5E5"/>
          </w:tcPr>
          <w:p>
            <w:r>
              <w:rPr>
                <w:sz w:val="19"/>
              </w:rPr>
              <w:t>50</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free-socialbookmarking.com</w:t>
            </w:r>
          </w:p>
        </w:tc>
        <w:tc>
          <w:tcPr>
            <w:tcW w:type="dxa" w:w="1872"/>
            <w:shd w:val="clear" w:color="auto" w:fill="FFE5E5"/>
          </w:tcPr>
          <w:p>
            <w:r>
              <w:rPr>
                <w:sz w:val="19"/>
              </w:rPr>
              <w:t>46</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freebookmarkingsite.com</w:t>
            </w:r>
          </w:p>
        </w:tc>
        <w:tc>
          <w:tcPr>
            <w:tcW w:type="dxa" w:w="1872"/>
            <w:shd w:val="clear" w:color="auto" w:fill="FFE5E5"/>
          </w:tcPr>
          <w:p>
            <w:r>
              <w:rPr>
                <w:sz w:val="19"/>
              </w:rPr>
              <w:t>42</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newsocialbookmarkingsite.com</w:t>
            </w:r>
          </w:p>
        </w:tc>
        <w:tc>
          <w:tcPr>
            <w:tcW w:type="dxa" w:w="1872"/>
            <w:shd w:val="clear" w:color="auto" w:fill="FFE5E5"/>
          </w:tcPr>
          <w:p>
            <w:r>
              <w:rPr>
                <w:sz w:val="19"/>
              </w:rPr>
              <w:t>37</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social-bookmarkingsites.com</w:t>
            </w:r>
          </w:p>
        </w:tc>
        <w:tc>
          <w:tcPr>
            <w:tcW w:type="dxa" w:w="1872"/>
            <w:shd w:val="clear" w:color="auto" w:fill="FFE5E5"/>
          </w:tcPr>
          <w:p>
            <w:r>
              <w:rPr>
                <w:sz w:val="19"/>
              </w:rPr>
              <w:t>40</w:t>
            </w:r>
          </w:p>
        </w:tc>
        <w:tc>
          <w:tcPr>
            <w:tcW w:type="dxa" w:w="1872"/>
            <w:shd w:val="clear" w:color="auto" w:fill="FFE5E5"/>
          </w:tcPr>
          <w:p>
            <w:r>
              <w:rPr>
                <w:sz w:val="19"/>
              </w:rPr>
              <w:t>221</w:t>
            </w:r>
          </w:p>
        </w:tc>
        <w:tc>
          <w:tcPr>
            <w:tcW w:type="dxa" w:w="1872"/>
            <w:shd w:val="clear" w:color="auto" w:fill="FFE5E5"/>
          </w:tcPr>
          <w:p>
            <w:r>
              <w:rPr>
                <w:sz w:val="19"/>
              </w:rPr>
              <w:t>1</w:t>
            </w:r>
          </w:p>
        </w:tc>
        <w:tc>
          <w:tcPr>
            <w:tcW w:type="dxa" w:w="1872"/>
            <w:shd w:val="clear" w:color="auto" w:fill="FFE5E5"/>
          </w:tcPr>
          <w:p>
            <w:r>
              <w:rPr>
                <w:sz w:val="19"/>
              </w:rPr>
              <w:t>🔴 Disavow</w:t>
            </w:r>
          </w:p>
        </w:tc>
      </w:tr>
      <w:tr>
        <w:tc>
          <w:tcPr>
            <w:tcW w:type="dxa" w:w="1872"/>
            <w:shd w:val="clear" w:color="auto" w:fill="FFE5E5"/>
          </w:tcPr>
          <w:p>
            <w:r>
              <w:rPr>
                <w:sz w:val="19"/>
              </w:rPr>
              <w:t>drfedorenko.com (Wix profile)</w:t>
            </w:r>
          </w:p>
        </w:tc>
        <w:tc>
          <w:tcPr>
            <w:tcW w:type="dxa" w:w="1872"/>
            <w:shd w:val="clear" w:color="auto" w:fill="FFE5E5"/>
          </w:tcPr>
          <w:p>
            <w:r>
              <w:rPr>
                <w:sz w:val="19"/>
              </w:rPr>
              <w:t>18</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 — DR lower than ours</w:t>
            </w:r>
          </w:p>
        </w:tc>
      </w:tr>
      <w:tr>
        <w:tc>
          <w:tcPr>
            <w:tcW w:type="dxa" w:w="1872"/>
            <w:shd w:val="clear" w:color="auto" w:fill="FFE5E5"/>
          </w:tcPr>
          <w:p>
            <w:r>
              <w:rPr>
                <w:sz w:val="19"/>
              </w:rPr>
              <w:t>moonpathcuups.org (Wix profile)</w:t>
            </w:r>
          </w:p>
        </w:tc>
        <w:tc>
          <w:tcPr>
            <w:tcW w:type="dxa" w:w="1872"/>
            <w:shd w:val="clear" w:color="auto" w:fill="FFE5E5"/>
          </w:tcPr>
          <w:p>
            <w:r>
              <w:rPr>
                <w:sz w:val="19"/>
              </w:rPr>
              <w:t>21</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garthcharityprojects.org (Wix)</w:t>
            </w:r>
          </w:p>
        </w:tc>
        <w:tc>
          <w:tcPr>
            <w:tcW w:type="dxa" w:w="1872"/>
            <w:shd w:val="clear" w:color="auto" w:fill="FFE5E5"/>
          </w:tcPr>
          <w:p>
            <w:r>
              <w:rPr>
                <w:sz w:val="19"/>
              </w:rPr>
              <w:t>25</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laclt.com (Wix profile)</w:t>
            </w:r>
          </w:p>
        </w:tc>
        <w:tc>
          <w:tcPr>
            <w:tcW w:type="dxa" w:w="1872"/>
            <w:shd w:val="clear" w:color="auto" w:fill="FFE5E5"/>
          </w:tcPr>
          <w:p>
            <w:r>
              <w:rPr>
                <w:sz w:val="19"/>
              </w:rPr>
              <w:t>26</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abccaringhomes.com (Wix profile)</w:t>
            </w:r>
          </w:p>
        </w:tc>
        <w:tc>
          <w:tcPr>
            <w:tcW w:type="dxa" w:w="1872"/>
            <w:shd w:val="clear" w:color="auto" w:fill="FFE5E5"/>
          </w:tcPr>
          <w:p>
            <w:r>
              <w:rPr>
                <w:sz w:val="19"/>
              </w:rPr>
              <w:t>26</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uapexpedition.org (Wix profile)</w:t>
            </w:r>
          </w:p>
        </w:tc>
        <w:tc>
          <w:tcPr>
            <w:tcW w:type="dxa" w:w="1872"/>
            <w:shd w:val="clear" w:color="auto" w:fill="FFE5E5"/>
          </w:tcPr>
          <w:p>
            <w:r>
              <w:rPr>
                <w:sz w:val="19"/>
              </w:rPr>
              <w:t>27</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sipshopeat.com (Wix profile)</w:t>
            </w:r>
          </w:p>
        </w:tc>
        <w:tc>
          <w:tcPr>
            <w:tcW w:type="dxa" w:w="1872"/>
            <w:shd w:val="clear" w:color="auto" w:fill="FFE5E5"/>
          </w:tcPr>
          <w:p>
            <w:r>
              <w:rPr>
                <w:sz w:val="19"/>
              </w:rPr>
              <w:t>35</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bingbees.com</w:t>
            </w:r>
          </w:p>
        </w:tc>
        <w:tc>
          <w:tcPr>
            <w:tcW w:type="dxa" w:w="1872"/>
            <w:shd w:val="clear" w:color="auto" w:fill="FFE5E5"/>
          </w:tcPr>
          <w:p>
            <w:r>
              <w:rPr>
                <w:sz w:val="19"/>
              </w:rPr>
              <w:t>24</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chaintalk.tv</w:t>
            </w:r>
          </w:p>
        </w:tc>
        <w:tc>
          <w:tcPr>
            <w:tcW w:type="dxa" w:w="1872"/>
            <w:shd w:val="clear" w:color="auto" w:fill="FFE5E5"/>
          </w:tcPr>
          <w:p>
            <w:r>
              <w:rPr>
                <w:sz w:val="19"/>
              </w:rPr>
              <w:t>32</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E5E5"/>
          </w:tcPr>
          <w:p>
            <w:r>
              <w:rPr>
                <w:sz w:val="19"/>
              </w:rPr>
              <w:t>interestpin.com</w:t>
            </w:r>
          </w:p>
        </w:tc>
        <w:tc>
          <w:tcPr>
            <w:tcW w:type="dxa" w:w="1872"/>
            <w:shd w:val="clear" w:color="auto" w:fill="FFE5E5"/>
          </w:tcPr>
          <w:p>
            <w:r>
              <w:rPr>
                <w:sz w:val="19"/>
              </w:rPr>
              <w:t>32</w:t>
            </w:r>
          </w:p>
        </w:tc>
        <w:tc>
          <w:tcPr>
            <w:tcW w:type="dxa" w:w="1872"/>
            <w:shd w:val="clear" w:color="auto" w:fill="FFE5E5"/>
          </w:tcPr>
          <w:p>
            <w:r>
              <w:rPr>
                <w:sz w:val="19"/>
              </w:rPr>
              <w:t>0</w:t>
            </w:r>
          </w:p>
        </w:tc>
        <w:tc>
          <w:tcPr>
            <w:tcW w:type="dxa" w:w="1872"/>
            <w:shd w:val="clear" w:color="auto" w:fill="FFE5E5"/>
          </w:tcPr>
          <w:p>
            <w:r>
              <w:rPr>
                <w:sz w:val="19"/>
              </w:rPr>
              <w:t>0</w:t>
            </w:r>
          </w:p>
        </w:tc>
        <w:tc>
          <w:tcPr>
            <w:tcW w:type="dxa" w:w="1872"/>
            <w:shd w:val="clear" w:color="auto" w:fill="FFE5E5"/>
          </w:tcPr>
          <w:p>
            <w:r>
              <w:rPr>
                <w:sz w:val="19"/>
              </w:rPr>
              <w:t>🔴 Disavow</w:t>
            </w:r>
          </w:p>
        </w:tc>
      </w:tr>
      <w:tr>
        <w:tc>
          <w:tcPr>
            <w:tcW w:type="dxa" w:w="1872"/>
            <w:shd w:val="clear" w:color="auto" w:fill="FFF8D6"/>
          </w:tcPr>
          <w:p>
            <w:r>
              <w:rPr>
                <w:sz w:val="19"/>
              </w:rPr>
              <w:t>investagrams.com</w:t>
            </w:r>
          </w:p>
        </w:tc>
        <w:tc>
          <w:tcPr>
            <w:tcW w:type="dxa" w:w="1872"/>
            <w:shd w:val="clear" w:color="auto" w:fill="FFF8D6"/>
          </w:tcPr>
          <w:p>
            <w:r>
              <w:rPr>
                <w:sz w:val="19"/>
              </w:rPr>
              <w:t>64</w:t>
            </w:r>
          </w:p>
        </w:tc>
        <w:tc>
          <w:tcPr>
            <w:tcW w:type="dxa" w:w="1872"/>
            <w:shd w:val="clear" w:color="auto" w:fill="FFF8D6"/>
          </w:tcPr>
          <w:p>
            <w:r>
              <w:rPr>
                <w:sz w:val="19"/>
              </w:rPr>
              <w:t>0</w:t>
            </w:r>
          </w:p>
        </w:tc>
        <w:tc>
          <w:tcPr>
            <w:tcW w:type="dxa" w:w="1872"/>
            <w:shd w:val="clear" w:color="auto" w:fill="FFF8D6"/>
          </w:tcPr>
          <w:p>
            <w:r>
              <w:rPr>
                <w:sz w:val="19"/>
              </w:rPr>
              <w:t>0</w:t>
            </w:r>
          </w:p>
        </w:tc>
        <w:tc>
          <w:tcPr>
            <w:tcW w:type="dxa" w:w="1872"/>
            <w:shd w:val="clear" w:color="auto" w:fill="FFF8D6"/>
          </w:tcPr>
          <w:p>
            <w:r>
              <w:rPr>
                <w:sz w:val="19"/>
              </w:rPr>
              <w:t>🟡 Borderline — irrelevant. Optional disavow.</w:t>
            </w:r>
          </w:p>
        </w:tc>
      </w:tr>
      <w:tr>
        <w:tc>
          <w:tcPr>
            <w:tcW w:type="dxa" w:w="1872"/>
            <w:shd w:val="clear" w:color="auto" w:fill="FFF8D6"/>
          </w:tcPr>
          <w:p>
            <w:r>
              <w:rPr>
                <w:sz w:val="19"/>
              </w:rPr>
              <w:t>xat.com</w:t>
            </w:r>
          </w:p>
        </w:tc>
        <w:tc>
          <w:tcPr>
            <w:tcW w:type="dxa" w:w="1872"/>
            <w:shd w:val="clear" w:color="auto" w:fill="FFF8D6"/>
          </w:tcPr>
          <w:p>
            <w:r>
              <w:rPr>
                <w:sz w:val="19"/>
              </w:rPr>
              <w:t>74</w:t>
            </w:r>
          </w:p>
        </w:tc>
        <w:tc>
          <w:tcPr>
            <w:tcW w:type="dxa" w:w="1872"/>
            <w:shd w:val="clear" w:color="auto" w:fill="FFF8D6"/>
          </w:tcPr>
          <w:p>
            <w:r>
              <w:rPr>
                <w:sz w:val="19"/>
              </w:rPr>
              <w:t>12,592</w:t>
            </w:r>
          </w:p>
        </w:tc>
        <w:tc>
          <w:tcPr>
            <w:tcW w:type="dxa" w:w="1872"/>
            <w:shd w:val="clear" w:color="auto" w:fill="FFF8D6"/>
          </w:tcPr>
          <w:p>
            <w:r>
              <w:rPr>
                <w:sz w:val="19"/>
              </w:rPr>
              <w:t>450</w:t>
            </w:r>
          </w:p>
        </w:tc>
        <w:tc>
          <w:tcPr>
            <w:tcW w:type="dxa" w:w="1872"/>
            <w:shd w:val="clear" w:color="auto" w:fill="FFF8D6"/>
          </w:tcPr>
          <w:p>
            <w:r>
              <w:rPr>
                <w:sz w:val="19"/>
              </w:rPr>
              <w:t>🟡 Real but largely defunct. Keep, monitor.</w:t>
            </w:r>
          </w:p>
        </w:tc>
      </w:tr>
      <w:tr>
        <w:tc>
          <w:tcPr>
            <w:tcW w:type="dxa" w:w="1872"/>
            <w:shd w:val="clear" w:color="auto" w:fill="FFF8D6"/>
          </w:tcPr>
          <w:p>
            <w:r>
              <w:rPr>
                <w:sz w:val="19"/>
              </w:rPr>
              <w:t>wattpad.com</w:t>
            </w:r>
          </w:p>
        </w:tc>
        <w:tc>
          <w:tcPr>
            <w:tcW w:type="dxa" w:w="1872"/>
            <w:shd w:val="clear" w:color="auto" w:fill="FFF8D6"/>
          </w:tcPr>
          <w:p>
            <w:r>
              <w:rPr>
                <w:sz w:val="19"/>
              </w:rPr>
              <w:t>85</w:t>
            </w:r>
          </w:p>
        </w:tc>
        <w:tc>
          <w:tcPr>
            <w:tcW w:type="dxa" w:w="1872"/>
            <w:shd w:val="clear" w:color="auto" w:fill="FFF8D6"/>
          </w:tcPr>
          <w:p>
            <w:r>
              <w:rPr>
                <w:sz w:val="19"/>
              </w:rPr>
              <w:t>204</w:t>
            </w:r>
          </w:p>
        </w:tc>
        <w:tc>
          <w:tcPr>
            <w:tcW w:type="dxa" w:w="1872"/>
            <w:shd w:val="clear" w:color="auto" w:fill="FFF8D6"/>
          </w:tcPr>
          <w:p>
            <w:r>
              <w:rPr>
                <w:sz w:val="19"/>
              </w:rPr>
              <w:t>3</w:t>
            </w:r>
          </w:p>
        </w:tc>
        <w:tc>
          <w:tcPr>
            <w:tcW w:type="dxa" w:w="1872"/>
            <w:shd w:val="clear" w:color="auto" w:fill="FFF8D6"/>
          </w:tcPr>
          <w:p>
            <w:r>
              <w:rPr>
                <w:sz w:val="19"/>
              </w:rPr>
              <w:t>🟡 Topically irrelevant. Profile = nofollow.</w:t>
            </w:r>
          </w:p>
        </w:tc>
      </w:tr>
      <w:tr>
        <w:tc>
          <w:tcPr>
            <w:tcW w:type="dxa" w:w="1872"/>
            <w:shd w:val="clear" w:color="auto" w:fill="FFF8D6"/>
          </w:tcPr>
          <w:p>
            <w:r>
              <w:rPr>
                <w:sz w:val="19"/>
              </w:rPr>
              <w:t>hatena.ne.jp</w:t>
            </w:r>
          </w:p>
        </w:tc>
        <w:tc>
          <w:tcPr>
            <w:tcW w:type="dxa" w:w="1872"/>
            <w:shd w:val="clear" w:color="auto" w:fill="FFF8D6"/>
          </w:tcPr>
          <w:p>
            <w:r>
              <w:rPr>
                <w:sz w:val="19"/>
              </w:rPr>
              <w:t>93</w:t>
            </w:r>
          </w:p>
        </w:tc>
        <w:tc>
          <w:tcPr>
            <w:tcW w:type="dxa" w:w="1872"/>
            <w:shd w:val="clear" w:color="auto" w:fill="FFF8D6"/>
          </w:tcPr>
          <w:p>
            <w:r>
              <w:rPr>
                <w:sz w:val="19"/>
              </w:rPr>
              <w:t>0</w:t>
            </w:r>
          </w:p>
        </w:tc>
        <w:tc>
          <w:tcPr>
            <w:tcW w:type="dxa" w:w="1872"/>
            <w:shd w:val="clear" w:color="auto" w:fill="FFF8D6"/>
          </w:tcPr>
          <w:p>
            <w:r>
              <w:rPr>
                <w:sz w:val="19"/>
              </w:rPr>
              <w:t>0</w:t>
            </w:r>
          </w:p>
        </w:tc>
        <w:tc>
          <w:tcPr>
            <w:tcW w:type="dxa" w:w="1872"/>
            <w:shd w:val="clear" w:color="auto" w:fill="FFF8D6"/>
          </w:tcPr>
          <w:p>
            <w:r>
              <w:rPr>
                <w:sz w:val="19"/>
              </w:rPr>
              <w:t>🟡 Japanese platform. Keep, harmless.</w:t>
            </w:r>
          </w:p>
        </w:tc>
      </w:tr>
      <w:tr>
        <w:tc>
          <w:tcPr>
            <w:tcW w:type="dxa" w:w="1872"/>
            <w:shd w:val="clear" w:color="auto" w:fill="E6F7E6"/>
          </w:tcPr>
          <w:p>
            <w:r>
              <w:rPr>
                <w:sz w:val="19"/>
              </w:rPr>
              <w:t>diigo.com</w:t>
            </w:r>
          </w:p>
        </w:tc>
        <w:tc>
          <w:tcPr>
            <w:tcW w:type="dxa" w:w="1872"/>
            <w:shd w:val="clear" w:color="auto" w:fill="E6F7E6"/>
          </w:tcPr>
          <w:p>
            <w:r>
              <w:rPr>
                <w:sz w:val="19"/>
              </w:rPr>
              <w:t>82</w:t>
            </w:r>
          </w:p>
        </w:tc>
        <w:tc>
          <w:tcPr>
            <w:tcW w:type="dxa" w:w="1872"/>
            <w:shd w:val="clear" w:color="auto" w:fill="E6F7E6"/>
          </w:tcPr>
          <w:p>
            <w:r>
              <w:rPr>
                <w:sz w:val="19"/>
              </w:rPr>
              <w:t>14</w:t>
            </w:r>
          </w:p>
        </w:tc>
        <w:tc>
          <w:tcPr>
            <w:tcW w:type="dxa" w:w="1872"/>
            <w:shd w:val="clear" w:color="auto" w:fill="E6F7E6"/>
          </w:tcPr>
          <w:p>
            <w:r>
              <w:rPr>
                <w:sz w:val="19"/>
              </w:rPr>
              <w:t>14</w:t>
            </w:r>
          </w:p>
        </w:tc>
        <w:tc>
          <w:tcPr>
            <w:tcW w:type="dxa" w:w="1872"/>
            <w:shd w:val="clear" w:color="auto" w:fill="E6F7E6"/>
          </w:tcPr>
          <w:p>
            <w:r>
              <w:rPr>
                <w:sz w:val="19"/>
              </w:rPr>
              <w:t>✅ Real bookmarking community. Keep.</w:t>
            </w:r>
          </w:p>
        </w:tc>
      </w:tr>
      <w:tr>
        <w:tc>
          <w:tcPr>
            <w:tcW w:type="dxa" w:w="1872"/>
            <w:shd w:val="clear" w:color="auto" w:fill="E6F7E6"/>
          </w:tcPr>
          <w:p>
            <w:r>
              <w:rPr>
                <w:sz w:val="19"/>
              </w:rPr>
              <w:t>medium.com</w:t>
            </w:r>
          </w:p>
        </w:tc>
        <w:tc>
          <w:tcPr>
            <w:tcW w:type="dxa" w:w="1872"/>
            <w:shd w:val="clear" w:color="auto" w:fill="E6F7E6"/>
          </w:tcPr>
          <w:p>
            <w:r>
              <w:rPr>
                <w:sz w:val="19"/>
              </w:rPr>
              <w:t>94</w:t>
            </w:r>
          </w:p>
        </w:tc>
        <w:tc>
          <w:tcPr>
            <w:tcW w:type="dxa" w:w="1872"/>
            <w:shd w:val="clear" w:color="auto" w:fill="E6F7E6"/>
          </w:tcPr>
          <w:p>
            <w:r>
              <w:rPr>
                <w:sz w:val="19"/>
              </w:rPr>
              <w:t>23.2M</w:t>
            </w:r>
          </w:p>
        </w:tc>
        <w:tc>
          <w:tcPr>
            <w:tcW w:type="dxa" w:w="1872"/>
            <w:shd w:val="clear" w:color="auto" w:fill="E6F7E6"/>
          </w:tcPr>
          <w:p>
            <w:r>
              <w:rPr>
                <w:sz w:val="19"/>
              </w:rPr>
              <w:t>3.1M</w:t>
            </w:r>
          </w:p>
        </w:tc>
        <w:tc>
          <w:tcPr>
            <w:tcW w:type="dxa" w:w="1872"/>
            <w:shd w:val="clear" w:color="auto" w:fill="E6F7E6"/>
          </w:tcPr>
          <w:p>
            <w:r>
              <w:rPr>
                <w:sz w:val="19"/>
              </w:rPr>
              <w:t>✅ Valuable IF Federico publishes here.</w:t>
            </w:r>
          </w:p>
        </w:tc>
      </w:tr>
      <w:tr>
        <w:tc>
          <w:tcPr>
            <w:tcW w:type="dxa" w:w="1872"/>
            <w:shd w:val="clear" w:color="auto" w:fill="E6F7E6"/>
          </w:tcPr>
          <w:p>
            <w:r>
              <w:rPr>
                <w:sz w:val="19"/>
              </w:rPr>
              <w:t>pinterest.com</w:t>
            </w:r>
          </w:p>
        </w:tc>
        <w:tc>
          <w:tcPr>
            <w:tcW w:type="dxa" w:w="1872"/>
            <w:shd w:val="clear" w:color="auto" w:fill="E6F7E6"/>
          </w:tcPr>
          <w:p>
            <w:r>
              <w:rPr>
                <w:sz w:val="19"/>
              </w:rPr>
              <w:t>97</w:t>
            </w:r>
          </w:p>
        </w:tc>
        <w:tc>
          <w:tcPr>
            <w:tcW w:type="dxa" w:w="1872"/>
            <w:shd w:val="clear" w:color="auto" w:fill="E6F7E6"/>
          </w:tcPr>
          <w:p>
            <w:r>
              <w:rPr>
                <w:sz w:val="19"/>
              </w:rPr>
              <w:t>289</w:t>
            </w:r>
          </w:p>
        </w:tc>
        <w:tc>
          <w:tcPr>
            <w:tcW w:type="dxa" w:w="1872"/>
            <w:shd w:val="clear" w:color="auto" w:fill="E6F7E6"/>
          </w:tcPr>
          <w:p>
            <w:r>
              <w:rPr>
                <w:sz w:val="19"/>
              </w:rPr>
              <w:t>16</w:t>
            </w:r>
          </w:p>
        </w:tc>
        <w:tc>
          <w:tcPr>
            <w:tcW w:type="dxa" w:w="1872"/>
            <w:shd w:val="clear" w:color="auto" w:fill="E6F7E6"/>
          </w:tcPr>
          <w:p>
            <w:r>
              <w:rPr>
                <w:sz w:val="19"/>
              </w:rPr>
              <w:t>✅ Useful for visual SEO if real activity.</w:t>
            </w:r>
          </w:p>
        </w:tc>
      </w:tr>
      <w:tr>
        <w:tc>
          <w:tcPr>
            <w:tcW w:type="dxa" w:w="1872"/>
            <w:shd w:val="clear" w:color="auto" w:fill="E6F7E6"/>
          </w:tcPr>
          <w:p>
            <w:r>
              <w:rPr>
                <w:sz w:val="19"/>
              </w:rPr>
              <w:t>gravatar.com</w:t>
            </w:r>
          </w:p>
        </w:tc>
        <w:tc>
          <w:tcPr>
            <w:tcW w:type="dxa" w:w="1872"/>
            <w:shd w:val="clear" w:color="auto" w:fill="E6F7E6"/>
          </w:tcPr>
          <w:p>
            <w:r>
              <w:rPr>
                <w:sz w:val="19"/>
              </w:rPr>
              <w:t>97</w:t>
            </w:r>
          </w:p>
        </w:tc>
        <w:tc>
          <w:tcPr>
            <w:tcW w:type="dxa" w:w="1872"/>
            <w:shd w:val="clear" w:color="auto" w:fill="E6F7E6"/>
          </w:tcPr>
          <w:p>
            <w:r>
              <w:rPr>
                <w:sz w:val="19"/>
              </w:rPr>
              <w:t>77,559</w:t>
            </w:r>
          </w:p>
        </w:tc>
        <w:tc>
          <w:tcPr>
            <w:tcW w:type="dxa" w:w="1872"/>
            <w:shd w:val="clear" w:color="auto" w:fill="E6F7E6"/>
          </w:tcPr>
          <w:p>
            <w:r>
              <w:rPr>
                <w:sz w:val="19"/>
              </w:rPr>
              <w:t>1,600</w:t>
            </w:r>
          </w:p>
        </w:tc>
        <w:tc>
          <w:tcPr>
            <w:tcW w:type="dxa" w:w="1872"/>
            <w:shd w:val="clear" w:color="auto" w:fill="E6F7E6"/>
          </w:tcPr>
          <w:p>
            <w:r>
              <w:rPr>
                <w:sz w:val="19"/>
              </w:rPr>
              <w:t>✅ Valuable IF tied to Federico's email.</w:t>
            </w:r>
          </w:p>
        </w:tc>
      </w:tr>
      <w:tr>
        <w:tc>
          <w:tcPr>
            <w:tcW w:type="dxa" w:w="1872"/>
            <w:shd w:val="clear" w:color="auto" w:fill="E6F7E6"/>
          </w:tcPr>
          <w:p>
            <w:r>
              <w:rPr>
                <w:sz w:val="19"/>
              </w:rPr>
              <w:t>behance.net</w:t>
            </w:r>
          </w:p>
        </w:tc>
        <w:tc>
          <w:tcPr>
            <w:tcW w:type="dxa" w:w="1872"/>
            <w:shd w:val="clear" w:color="auto" w:fill="E6F7E6"/>
          </w:tcPr>
          <w:p>
            <w:r>
              <w:rPr>
                <w:sz w:val="19"/>
              </w:rPr>
              <w:t>94</w:t>
            </w:r>
          </w:p>
        </w:tc>
        <w:tc>
          <w:tcPr>
            <w:tcW w:type="dxa" w:w="1872"/>
            <w:shd w:val="clear" w:color="auto" w:fill="E6F7E6"/>
          </w:tcPr>
          <w:p>
            <w:r>
              <w:rPr>
                <w:sz w:val="19"/>
              </w:rPr>
              <w:t>0</w:t>
            </w:r>
          </w:p>
        </w:tc>
        <w:tc>
          <w:tcPr>
            <w:tcW w:type="dxa" w:w="1872"/>
            <w:shd w:val="clear" w:color="auto" w:fill="E6F7E6"/>
          </w:tcPr>
          <w:p>
            <w:r>
              <w:rPr>
                <w:sz w:val="19"/>
              </w:rPr>
              <w:t>1</w:t>
            </w:r>
          </w:p>
        </w:tc>
        <w:tc>
          <w:tcPr>
            <w:tcW w:type="dxa" w:w="1872"/>
            <w:shd w:val="clear" w:color="auto" w:fill="E6F7E6"/>
          </w:tcPr>
          <w:p>
            <w:r>
              <w:rPr>
                <w:sz w:val="19"/>
              </w:rPr>
              <w:t>✅ Topically irrelevant but harmless.</w:t>
            </w:r>
          </w:p>
        </w:tc>
      </w:tr>
      <w:tr>
        <w:tc>
          <w:tcPr>
            <w:tcW w:type="dxa" w:w="1872"/>
            <w:shd w:val="clear" w:color="auto" w:fill="E6F7E6"/>
          </w:tcPr>
          <w:p>
            <w:r>
              <w:rPr>
                <w:sz w:val="19"/>
              </w:rPr>
              <w:t>ted.com</w:t>
            </w:r>
          </w:p>
        </w:tc>
        <w:tc>
          <w:tcPr>
            <w:tcW w:type="dxa" w:w="1872"/>
            <w:shd w:val="clear" w:color="auto" w:fill="E6F7E6"/>
          </w:tcPr>
          <w:p>
            <w:r>
              <w:rPr>
                <w:sz w:val="19"/>
              </w:rPr>
              <w:t>92</w:t>
            </w:r>
          </w:p>
        </w:tc>
        <w:tc>
          <w:tcPr>
            <w:tcW w:type="dxa" w:w="1872"/>
            <w:shd w:val="clear" w:color="auto" w:fill="E6F7E6"/>
          </w:tcPr>
          <w:p>
            <w:r>
              <w:rPr>
                <w:sz w:val="19"/>
              </w:rPr>
              <w:t>0</w:t>
            </w:r>
          </w:p>
        </w:tc>
        <w:tc>
          <w:tcPr>
            <w:tcW w:type="dxa" w:w="1872"/>
            <w:shd w:val="clear" w:color="auto" w:fill="E6F7E6"/>
          </w:tcPr>
          <w:p>
            <w:r>
              <w:rPr>
                <w:sz w:val="19"/>
              </w:rPr>
              <w:t>0</w:t>
            </w:r>
          </w:p>
        </w:tc>
        <w:tc>
          <w:tcPr>
            <w:tcW w:type="dxa" w:w="1872"/>
            <w:shd w:val="clear" w:color="auto" w:fill="E6F7E6"/>
          </w:tcPr>
          <w:p>
            <w:r>
              <w:rPr>
                <w:sz w:val="19"/>
              </w:rPr>
              <w:t>✅ Profile = nofollow. Vanity placement.</w:t>
            </w:r>
          </w:p>
        </w:tc>
      </w:tr>
      <w:tr>
        <w:tc>
          <w:tcPr>
            <w:tcW w:type="dxa" w:w="1872"/>
            <w:shd w:val="clear" w:color="auto" w:fill="E6F7E6"/>
          </w:tcPr>
          <w:p>
            <w:r>
              <w:rPr>
                <w:sz w:val="19"/>
              </w:rPr>
              <w:t>pixabay.com</w:t>
            </w:r>
          </w:p>
        </w:tc>
        <w:tc>
          <w:tcPr>
            <w:tcW w:type="dxa" w:w="1872"/>
            <w:shd w:val="clear" w:color="auto" w:fill="E6F7E6"/>
          </w:tcPr>
          <w:p>
            <w:r>
              <w:rPr>
                <w:sz w:val="19"/>
              </w:rPr>
              <w:t>92</w:t>
            </w:r>
          </w:p>
        </w:tc>
        <w:tc>
          <w:tcPr>
            <w:tcW w:type="dxa" w:w="1872"/>
            <w:shd w:val="clear" w:color="auto" w:fill="E6F7E6"/>
          </w:tcPr>
          <w:p>
            <w:r>
              <w:rPr>
                <w:sz w:val="19"/>
              </w:rPr>
              <w:t>16.1M</w:t>
            </w:r>
          </w:p>
        </w:tc>
        <w:tc>
          <w:tcPr>
            <w:tcW w:type="dxa" w:w="1872"/>
            <w:shd w:val="clear" w:color="auto" w:fill="E6F7E6"/>
          </w:tcPr>
          <w:p>
            <w:r>
              <w:rPr>
                <w:sz w:val="19"/>
              </w:rPr>
              <w:t>1.0M</w:t>
            </w:r>
          </w:p>
        </w:tc>
        <w:tc>
          <w:tcPr>
            <w:tcW w:type="dxa" w:w="1872"/>
            <w:shd w:val="clear" w:color="auto" w:fill="E6F7E6"/>
          </w:tcPr>
          <w:p>
            <w:r>
              <w:rPr>
                <w:sz w:val="19"/>
              </w:rPr>
              <w:t>✅ Image SEO platform. Real value if used.</w:t>
            </w:r>
          </w:p>
        </w:tc>
      </w:tr>
      <w:tr>
        <w:tc>
          <w:tcPr>
            <w:tcW w:type="dxa" w:w="1872"/>
            <w:shd w:val="clear" w:color="auto" w:fill="E6F7E6"/>
          </w:tcPr>
          <w:p>
            <w:r>
              <w:rPr>
                <w:sz w:val="19"/>
              </w:rPr>
              <w:t>kickstarter.com</w:t>
            </w:r>
          </w:p>
        </w:tc>
        <w:tc>
          <w:tcPr>
            <w:tcW w:type="dxa" w:w="1872"/>
            <w:shd w:val="clear" w:color="auto" w:fill="E6F7E6"/>
          </w:tcPr>
          <w:p>
            <w:r>
              <w:rPr>
                <w:sz w:val="19"/>
              </w:rPr>
              <w:t>92</w:t>
            </w:r>
          </w:p>
        </w:tc>
        <w:tc>
          <w:tcPr>
            <w:tcW w:type="dxa" w:w="1872"/>
            <w:shd w:val="clear" w:color="auto" w:fill="E6F7E6"/>
          </w:tcPr>
          <w:p>
            <w:r>
              <w:rPr>
                <w:sz w:val="19"/>
              </w:rPr>
              <w:t>0</w:t>
            </w:r>
          </w:p>
        </w:tc>
        <w:tc>
          <w:tcPr>
            <w:tcW w:type="dxa" w:w="1872"/>
            <w:shd w:val="clear" w:color="auto" w:fill="E6F7E6"/>
          </w:tcPr>
          <w:p>
            <w:r>
              <w:rPr>
                <w:sz w:val="19"/>
              </w:rPr>
              <w:t>1</w:t>
            </w:r>
          </w:p>
        </w:tc>
        <w:tc>
          <w:tcPr>
            <w:tcW w:type="dxa" w:w="1872"/>
            <w:shd w:val="clear" w:color="auto" w:fill="E6F7E6"/>
          </w:tcPr>
          <w:p>
            <w:r>
              <w:rPr>
                <w:sz w:val="19"/>
              </w:rPr>
              <w:t>✅ Profile = nofollow. Vanity placement.</w:t>
            </w:r>
          </w:p>
        </w:tc>
      </w:tr>
      <w:tr>
        <w:tc>
          <w:tcPr>
            <w:tcW w:type="dxa" w:w="1872"/>
            <w:shd w:val="clear" w:color="auto" w:fill="E6F7E6"/>
          </w:tcPr>
          <w:p>
            <w:r>
              <w:rPr>
                <w:sz w:val="19"/>
              </w:rPr>
              <w:t>mixcloud.com</w:t>
            </w:r>
          </w:p>
        </w:tc>
        <w:tc>
          <w:tcPr>
            <w:tcW w:type="dxa" w:w="1872"/>
            <w:shd w:val="clear" w:color="auto" w:fill="E6F7E6"/>
          </w:tcPr>
          <w:p>
            <w:r>
              <w:rPr>
                <w:sz w:val="19"/>
              </w:rPr>
              <w:t>91</w:t>
            </w:r>
          </w:p>
        </w:tc>
        <w:tc>
          <w:tcPr>
            <w:tcW w:type="dxa" w:w="1872"/>
            <w:shd w:val="clear" w:color="auto" w:fill="E6F7E6"/>
          </w:tcPr>
          <w:p>
            <w:r>
              <w:rPr>
                <w:sz w:val="19"/>
              </w:rPr>
              <w:t>0</w:t>
            </w:r>
          </w:p>
        </w:tc>
        <w:tc>
          <w:tcPr>
            <w:tcW w:type="dxa" w:w="1872"/>
            <w:shd w:val="clear" w:color="auto" w:fill="E6F7E6"/>
          </w:tcPr>
          <w:p>
            <w:r>
              <w:rPr>
                <w:sz w:val="19"/>
              </w:rPr>
              <w:t>3</w:t>
            </w:r>
          </w:p>
        </w:tc>
        <w:tc>
          <w:tcPr>
            <w:tcW w:type="dxa" w:w="1872"/>
            <w:shd w:val="clear" w:color="auto" w:fill="E6F7E6"/>
          </w:tcPr>
          <w:p>
            <w:r>
              <w:rPr>
                <w:sz w:val="19"/>
              </w:rPr>
              <w:t>✅ Music platform. Irrelevant but harmless.</w:t>
            </w:r>
          </w:p>
        </w:tc>
      </w:tr>
    </w:tbl>
    <w:p>
      <w:pPr>
        <w:spacing w:after="80"/>
        <w:ind w:left="216"/>
        <w:pBdr>
          <w:left w:val="single" w:sz="24" w:space="8" w:color="1A4FBF"/>
        </w:pBdr>
        <w:shd w:val="clear" w:color="auto" w:fill="F0F5FF"/>
      </w:pPr>
      <w:r>
        <w:rPr>
          <w:rFonts w:ascii="Helvetica" w:hAnsi="Helvetica"/>
          <w:b/>
          <w:color w:val="1A4FBF"/>
          <w:sz w:val="21"/>
        </w:rPr>
        <w:t xml:space="preserve">Verdict: </w:t>
      </w:r>
      <w:r>
        <w:rPr>
          <w:rFonts w:ascii="Helvetica" w:hAnsi="Helvetica"/>
          <w:b w:val="0"/>
          <w:color w:val="1A4FBF"/>
          <w:sz w:val="21"/>
        </w:rPr>
        <w:t>25 of the 38 placements are recommended for disavow. 13 are real platforms — keep, but most are vanity placements with no authority transfer. Net contribution to DR: near zero. Net contribution to spam score: meaningful negative.</w:t>
      </w:r>
    </w:p>
    <w:p>
      <w:pPr>
        <w:spacing w:after="80"/>
        <w:ind w:left="216"/>
        <w:pBdr>
          <w:left w:val="single" w:sz="24" w:space="8" w:color="1A4FBF"/>
        </w:pBdr>
        <w:shd w:val="clear" w:color="auto" w:fill="F0F5FF"/>
      </w:pPr>
      <w:r>
        <w:rPr>
          <w:rFonts w:ascii="Helvetica" w:hAnsi="Helvetica"/>
          <w:color w:val="1A4FBF"/>
          <w:sz w:val="21"/>
        </w:rPr>
        <w:t>Disavow file generated separately at /Users/aaronwhittaker/Claude/RevFactor/docs/disavow-revfactor-2026-04-29.txt — submit at search.google.com/search-console/disavow-links after final review.</w:t>
      </w:r>
    </w:p>
    <w:p>
      <w:pPr>
        <w:spacing w:after="120"/>
      </w:pPr>
      <w:r>
        <w:rPr>
          <w:b w:val="0"/>
          <w:i w:val="0"/>
          <w:sz w:val="22"/>
        </w:rPr>
      </w:r>
    </w:p>
    <w:p>
      <w:pPr>
        <w:spacing w:before="400"/>
        <w:pBdr>
          <w:left w:val="single" w:sz="24" w:space="8" w:color="CCCCCC"/>
        </w:pBdr>
      </w:pPr>
      <w:r>
        <w:rPr>
          <w:i/>
          <w:color w:val="888888"/>
          <w:sz w:val="18"/>
        </w:rPr>
        <w:t>Compiled 2026-04-29. Sources: Ahrefs Keywords Explorer (US), Ahrefs batch-analysis (38 backlink domains), Peec.ai project or_be14dba6 (75 prompts, 28 brands, 90-day report), Page Optimizer Pro task fc4d0928, RevFactor Onboarding Questionnaire COMPLETED (April 2026), FireFlies discovery call with Avinash Tripathi (2026-04-22), Federico Zimerman persona guide, RevFactor live site, GetCito-delivered backlinks CSV (23-Apr → 03-May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