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8"/>
        </w:rPr>
        <w:t xml:space="preserve">COLOR KEY: </w:t>
      </w:r>
      <w:r>
        <w:rPr>
          <w:color w:val="222222"/>
          <w:sz w:val="18"/>
        </w:rPr>
        <w:t xml:space="preserve">Black = original brief  ·  </w:t>
      </w:r>
      <w:r>
        <w:rPr>
          <w:b/>
          <w:color w:val="0A7A3C"/>
          <w:sz w:val="18"/>
        </w:rPr>
        <w:t xml:space="preserve">Green = feedback  ·  </w:t>
      </w:r>
      <w:r>
        <w:rPr>
          <w:b/>
          <w:color w:val="8B1A1A"/>
          <w:sz w:val="18"/>
        </w:rPr>
        <w:t>Red = critical / blocker</w:t>
      </w:r>
    </w:p>
    <w:p>
      <w:r>
        <w:rPr>
          <w:b/>
          <w:color w:val="222222"/>
          <w:sz w:val="40"/>
        </w:rPr>
        <w:t>Blog 9 (F1 Race Weekend Playbook) — Outline Feedback</w:t>
      </w:r>
    </w:p>
    <w:p>
      <w:r>
        <w:rPr>
          <w:color w:val="222222"/>
          <w:sz w:val="22"/>
        </w:rPr>
        <w:br/>
      </w:r>
      <w:r>
        <w:rPr>
          <w:b/>
          <w:color w:val="222222"/>
          <w:sz w:val="22"/>
        </w:rPr>
        <w:t>Project:</w:t>
      </w:r>
      <w:r>
        <w:rPr>
          <w:color w:val="222222"/>
          <w:sz w:val="22"/>
        </w:rPr>
        <w:t xml:space="preserve"> RevFactor.io Blog 9 — outline review</w:t>
      </w:r>
      <w:r>
        <w:br/>
      </w:r>
      <w:r>
        <w:rPr>
          <w:color w:val="222222"/>
          <w:sz w:val="22"/>
        </w:rPr>
        <w:br/>
      </w:r>
      <w:r>
        <w:rPr>
          <w:b/>
          <w:color w:val="222222"/>
          <w:sz w:val="22"/>
        </w:rPr>
        <w:t>Title:</w:t>
      </w:r>
      <w:r>
        <w:rPr>
          <w:color w:val="222222"/>
          <w:sz w:val="22"/>
        </w:rPr>
        <w:t xml:space="preserve"> The F1 Race Weekend Revenue Playbook: How to Price Miami, Austin &amp; Las Vegas</w:t>
      </w:r>
      <w:r>
        <w:br/>
      </w:r>
      <w:r>
        <w:rPr>
          <w:color w:val="222222"/>
          <w:sz w:val="22"/>
        </w:rPr>
        <w:br/>
      </w:r>
      <w:r>
        <w:rPr>
          <w:b/>
          <w:color w:val="222222"/>
          <w:sz w:val="22"/>
        </w:rPr>
        <w:t>Source:</w:t>
      </w:r>
      <w:r>
        <w:rPr>
          <w:color w:val="222222"/>
          <w:sz w:val="22"/>
        </w:rPr>
        <w:t xml:space="preserve"> GetCito (Muskan), 2026-06-22</w:t>
      </w:r>
      <w:r>
        <w:br/>
      </w:r>
      <w:r>
        <w:rPr>
          <w:color w:val="222222"/>
          <w:sz w:val="22"/>
        </w:rPr>
        <w:br/>
      </w:r>
      <w:r>
        <w:rPr>
          <w:b/>
          <w:color w:val="222222"/>
          <w:sz w:val="22"/>
        </w:rPr>
        <w:t>Word-count target:</w:t>
      </w:r>
      <w:r>
        <w:rPr>
          <w:color w:val="222222"/>
          <w:sz w:val="22"/>
        </w:rPr>
        <w:t xml:space="preserve"> ~3,500 (per-section sum estimates ~3,800)</w:t>
      </w:r>
      <w:r>
        <w:br/>
      </w:r>
      <w:r>
        <w:rPr>
          <w:color w:val="222222"/>
          <w:sz w:val="22"/>
        </w:rPr>
        <w:br/>
      </w:r>
      <w:r>
        <w:rPr>
          <w:i/>
          <w:color w:val="222222"/>
          <w:sz w:val="22"/>
        </w:rPr>
        <w:t>Review by: RevFactor team — verified against the cluster (FIFA, pillar, Blog 4 listicle, Blog 5, ADR/RevPAR, Method, Comp Set, Dynamic Pricing, Blog 7 shipped 2026-06-09), the case-study allocation matrix, Federico's persona guide, and the standing schema + voice rules.</w:t>
      </w:r>
      <w:r>
        <w:rPr>
          <w:color w:val="222222"/>
          <w:sz w:val="22"/>
        </w:rPr>
        <w:br/>
      </w:r>
    </w:p>
    <w:p>
      <w:pPr>
        <w:shd w:val="clear" w:color="auto" w:fill="F0FFF5"/>
        <w:pBdr>
          <w:left w:val="single" w:sz="24" w:space="8" w:color="0A7A3C"/>
        </w:pBdr>
      </w:pPr>
      <w:r>
        <w:rPr>
          <w:b/>
          <w:color w:val="0A4F25"/>
          <w:sz w:val="18"/>
        </w:rPr>
        <w:t>TOP-LINE: STRONGEST GETCITO OUTLINE TO DATE — APPROVE TO DRAFT WITH 4 SMALL FIXES</w:t>
      </w:r>
    </w:p>
    <w:p>
      <w:pPr>
        <w:shd w:val="clear" w:color="auto" w:fill="F0FFF5"/>
        <w:pBdr>
          <w:left w:val="single" w:sz="24" w:space="8" w:color="0A7A3C"/>
        </w:pBdr>
      </w:pPr>
      <w:r>
        <w:rPr>
          <w:color w:val="0A7A3C"/>
          <w:sz w:val="22"/>
        </w:rPr>
        <w:t xml:space="preserve">This brief shows GetCito has internalized the standing rules. </w:t>
      </w:r>
      <w:r>
        <w:rPr>
          <w:b/>
          <w:color w:val="0A7A3C"/>
          <w:sz w:val="22"/>
        </w:rPr>
        <w:t>Strengths landed clean:</w:t>
      </w:r>
    </w:p>
    <w:p>
      <w:pPr>
        <w:pStyle w:val="ListBullet"/>
      </w:pPr>
      <w:r>
        <w:rPr>
          <w:b/>
          <w:color w:val="0A7A3C"/>
          <w:sz w:val="22"/>
        </w:rPr>
        <w:t>Timing &amp; Framing Note at the top</w:t>
      </w:r>
      <w:r>
        <w:rPr>
          <w:color w:val="0A7A3C"/>
          <w:sz w:val="22"/>
        </w:rPr>
        <w:t xml:space="preserve"> — explicit instruction to write evergreen + forward-looking because Miami 2026 has already run. Editorial discipline.</w:t>
      </w:r>
    </w:p>
    <w:p>
      <w:pPr>
        <w:pStyle w:val="ListBullet"/>
      </w:pPr>
      <w:r>
        <w:rPr>
          <w:b/>
          <w:color w:val="0A7A3C"/>
          <w:sz w:val="22"/>
        </w:rPr>
        <w:t>Every stat is sourced</w:t>
      </w:r>
      <w:r>
        <w:rPr>
          <w:color w:val="0A7A3C"/>
          <w:sz w:val="22"/>
        </w:rPr>
        <w:t xml:space="preserve"> — VegasInsider, LV Review-Journal, KXAN, AirDNA, Hotel Dive, Huang SSRN 2025. No "industry sources say" filler.</w:t>
      </w:r>
    </w:p>
    <w:p>
      <w:pPr>
        <w:pStyle w:val="ListBullet"/>
      </w:pPr>
      <w:r>
        <w:rPr>
          <w:b/>
          <w:color w:val="0A7A3C"/>
          <w:sz w:val="22"/>
        </w:rPr>
        <w:t>Two proprietary frameworks named explicitly</w:t>
      </w:r>
      <w:r>
        <w:rPr>
          <w:color w:val="0A7A3C"/>
          <w:sz w:val="22"/>
        </w:rPr>
        <w:t xml:space="preserve"> — "Three Archetypes" (§4) + "Event-Pricing Framework" (§8). Both are genuinely new editorial contributions; no cluster competitor has either.</w:t>
      </w:r>
    </w:p>
    <w:p>
      <w:pPr>
        <w:pStyle w:val="ListBullet"/>
      </w:pPr>
      <w:r>
        <w:rPr>
          <w:b/>
          <w:color w:val="0A7A3C"/>
          <w:sz w:val="22"/>
        </w:rPr>
        <w:t>Vegas occupancy paradox</w:t>
      </w:r>
      <w:r>
        <w:rPr>
          <w:color w:val="0A7A3C"/>
          <w:sz w:val="22"/>
        </w:rPr>
        <w:t xml:space="preserve"> (§7 H3) — occupancy ROSE as ADR fell. This is the screenshot-and-share AEO moment of the piece.</w:t>
      </w:r>
    </w:p>
    <w:p>
      <w:pPr>
        <w:pStyle w:val="ListBullet"/>
      </w:pPr>
      <w:r>
        <w:rPr>
          <w:b/>
          <w:color w:val="0A7A3C"/>
          <w:sz w:val="22"/>
        </w:rPr>
        <w:t>Dollar baselines on every percentage</w:t>
      </w:r>
      <w:r>
        <w:rPr>
          <w:color w:val="0A7A3C"/>
          <w:sz w:val="22"/>
        </w:rPr>
        <w:t xml:space="preserve"> — "84% ($423 to $780)" — exactly the Erin Warren rule applied to F1 data.</w:t>
      </w:r>
    </w:p>
    <w:p>
      <w:pPr>
        <w:pStyle w:val="ListBullet"/>
      </w:pPr>
      <w:r>
        <w:rPr>
          <w:b/>
          <w:color w:val="0A7A3C"/>
          <w:sz w:val="22"/>
        </w:rPr>
        <w:t>Brand voice notes are spot-on</w:t>
      </w:r>
      <w:r>
        <w:rPr>
          <w:color w:val="0A7A3C"/>
          <w:sz w:val="22"/>
        </w:rPr>
        <w:t xml:space="preserve"> — banned phrases list ("leverage", "unlock", "AI-powered", "set and forget", "passive income", "goldmine") + Problem→Principle→Example→Action rhythm + "no fabricated quotes — flag where a one-line founder quote would add weight and let the client provide it" + US spelling flagged explicitly.</w:t>
      </w:r>
    </w:p>
    <w:p>
      <w:pPr>
        <w:pStyle w:val="ListBullet"/>
      </w:pPr>
      <w:r>
        <w:rPr>
          <w:b/>
          <w:color w:val="0A7A3C"/>
          <w:sz w:val="22"/>
        </w:rPr>
        <w:t>FIFA cross-link to Miami</w:t>
      </w:r>
      <w:r>
        <w:rPr>
          <w:color w:val="0A7A3C"/>
          <w:sz w:val="22"/>
        </w:rPr>
        <w:t xml:space="preserve"> — same Hard Rock Stadium, same event-pricing logic. Smart cluster move.</w:t>
      </w:r>
    </w:p>
    <w:p>
      <w:pPr>
        <w:pStyle w:val="ListBullet"/>
      </w:pPr>
      <w:r>
        <w:rPr>
          <w:b/>
          <w:color w:val="0A7A3C"/>
          <w:sz w:val="22"/>
        </w:rPr>
        <w:t>Sales language is concentrated to §8 and §11</w:t>
      </w:r>
      <w:r>
        <w:rPr>
          <w:color w:val="0A7A3C"/>
          <w:sz w:val="22"/>
        </w:rPr>
        <w:t xml:space="preserve"> — soft positioning with one CTA, exactly the editorial standard.</w:t>
      </w:r>
    </w:p>
    <w:p>
      <w:pPr>
        <w:shd w:val="clear" w:color="auto" w:fill="F0FFF5"/>
        <w:pBdr>
          <w:left w:val="single" w:sz="24" w:space="8" w:color="0A7A3C"/>
        </w:pBdr>
      </w:pPr>
      <w:r>
        <w:rPr>
          <w:b/>
          <w:color w:val="0A7A3C"/>
          <w:sz w:val="22"/>
        </w:rPr>
        <w:t>Three small fixes below.</w:t>
      </w:r>
      <w:r>
        <w:rPr>
          <w:color w:val="0A7A3C"/>
          <w:sz w:val="22"/>
        </w:rPr>
        <w:t xml:space="preserve"> None require a re-outline; all are drafting-phase clarifications. After these clear, GetCito can write the MDX.</w:t>
      </w:r>
    </w:p>
    <w:p/>
    <w:p>
      <w:pPr>
        <w:pBdr>
          <w:bottom w:val="single" w:sz="6" w:space="1" w:color="999999"/>
        </w:pBdr>
      </w:pPr>
      <w:r>
        <w:rPr>
          <w:b/>
          <w:color w:val="222222"/>
          <w:sz w:val="30"/>
        </w:rPr>
        <w:t>Must-fix before draft (3 items)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b/>
          <w:color w:val="5A0000"/>
          <w:sz w:val="18"/>
        </w:rPr>
        <w:t xml:space="preserve">FIX 1 — URL SLUG MISSING THE </w:t>
      </w:r>
      <w:r>
        <w:rPr>
          <w:rFonts w:ascii="Menlo" w:hAnsi="Menlo"/>
          <w:b/>
          <w:color w:val="5A0000"/>
          <w:sz w:val="18"/>
        </w:rPr>
        <w:t>/BLOG/</w:t>
      </w:r>
      <w:r>
        <w:rPr>
          <w:b/>
          <w:color w:val="5A0000"/>
          <w:sz w:val="18"/>
        </w:rPr>
        <w:t xml:space="preserve"> PREFIX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color w:val="8B1A1A"/>
          <w:sz w:val="22"/>
        </w:rPr>
        <w:t xml:space="preserve">Brief proposes </w:t>
      </w:r>
      <w:r>
        <w:rPr>
          <w:rFonts w:ascii="Menlo" w:hAnsi="Menlo"/>
          <w:color w:val="8B1A1A"/>
          <w:sz w:val="20"/>
        </w:rPr>
        <w:t>/f1-race-weekend-str-revenue-playbook</w:t>
      </w:r>
      <w:r>
        <w:rPr>
          <w:color w:val="8B1A1A"/>
          <w:sz w:val="22"/>
        </w:rPr>
        <w:t xml:space="preserve">. The Astro content collection routes all posts under </w:t>
      </w:r>
      <w:r>
        <w:rPr>
          <w:rFonts w:ascii="Menlo" w:hAnsi="Menlo"/>
          <w:color w:val="8B1A1A"/>
          <w:sz w:val="20"/>
        </w:rPr>
        <w:t>/blog/</w:t>
      </w:r>
      <w:r>
        <w:rPr>
          <w:color w:val="8B1A1A"/>
          <w:sz w:val="22"/>
        </w:rPr>
        <w:t xml:space="preserve">, and the brief's slug doesn't include it. Same trap GetCito's Blog 7 hit — when shipped, the post landed at </w:t>
      </w:r>
      <w:r>
        <w:rPr>
          <w:rFonts w:ascii="Menlo" w:hAnsi="Menlo"/>
          <w:color w:val="8B1A1A"/>
          <w:sz w:val="20"/>
        </w:rPr>
        <w:t>/blog/blog/...</w:t>
      </w:r>
      <w:r>
        <w:rPr>
          <w:color w:val="8B1A1A"/>
          <w:sz w:val="22"/>
        </w:rPr>
        <w:t xml:space="preserve"> until the slug was stripped from frontmatter.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b/>
          <w:color w:val="8B1A1A"/>
          <w:sz w:val="22"/>
        </w:rPr>
        <w:t>Fix:</w:t>
      </w:r>
      <w:r>
        <w:rPr>
          <w:color w:val="8B1A1A"/>
          <w:sz w:val="22"/>
        </w:rPr>
        <w:t xml:space="preserve"> drop the </w:t>
      </w:r>
      <w:r>
        <w:rPr>
          <w:rFonts w:ascii="Menlo" w:hAnsi="Menlo"/>
          <w:color w:val="8B1A1A"/>
          <w:sz w:val="20"/>
        </w:rPr>
        <w:t>slug:</w:t>
      </w:r>
      <w:r>
        <w:rPr>
          <w:color w:val="8B1A1A"/>
          <w:sz w:val="22"/>
        </w:rPr>
        <w:t xml:space="preserve"> field entirely from frontmatter. Astro routes filename-based, so: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>src/content/blog/f1-race-weekend-str-pricing-playbook.mdx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color w:val="8B1A1A"/>
          <w:sz w:val="22"/>
        </w:rPr>
        <w:t xml:space="preserve">resolves automatically to </w:t>
      </w:r>
      <w:r>
        <w:rPr>
          <w:rFonts w:ascii="Menlo" w:hAnsi="Menlo"/>
          <w:color w:val="8B1A1A"/>
          <w:sz w:val="20"/>
        </w:rPr>
        <w:t>/blog/f1-race-weekend-str-pricing-playbook/</w:t>
      </w:r>
      <w:r>
        <w:rPr>
          <w:color w:val="8B1A1A"/>
          <w:sz w:val="22"/>
        </w:rPr>
        <w:t>. Recommended filename change: drop "revenue" → "pricing" to match the FIFA sister post pattern (</w:t>
      </w:r>
      <w:r>
        <w:rPr>
          <w:rFonts w:ascii="Menlo" w:hAnsi="Menlo"/>
          <w:color w:val="8B1A1A"/>
          <w:sz w:val="20"/>
        </w:rPr>
        <w:t>fifa-2026-world-cup-str-pricing</w:t>
      </w:r>
      <w:r>
        <w:rPr>
          <w:color w:val="8B1A1A"/>
          <w:sz w:val="22"/>
        </w:rPr>
        <w:t>).</w:t>
      </w:r>
    </w:p>
    <w:p/>
    <w:p>
      <w:pPr>
        <w:shd w:val="clear" w:color="auto" w:fill="FFF0F0"/>
        <w:pBdr>
          <w:left w:val="single" w:sz="24" w:space="8" w:color="8B1A1A"/>
        </w:pBdr>
      </w:pPr>
      <w:r>
        <w:rPr>
          <w:b/>
          <w:color w:val="5A0000"/>
          <w:sz w:val="18"/>
        </w:rPr>
        <w:t>FIX 2 — JSON-LD SCHEMA PACKAGE NOT SPECIFIED IN THE BRIEF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color w:val="8B1A1A"/>
          <w:sz w:val="22"/>
        </w:rPr>
        <w:t xml:space="preserve">Every other outline GetCito's delivered has had a "Schema Package (Required for Publish)" block. This one doesn't. Per the Blog 7 dedupe pattern we just shipped (commit </w:t>
      </w:r>
      <w:r>
        <w:rPr>
          <w:rFonts w:ascii="Menlo" w:hAnsi="Menlo"/>
          <w:color w:val="8B1A1A"/>
          <w:sz w:val="20"/>
        </w:rPr>
        <w:t>e9289ba</w:t>
      </w:r>
      <w:r>
        <w:rPr>
          <w:color w:val="8B1A1A"/>
          <w:sz w:val="22"/>
        </w:rPr>
        <w:t xml:space="preserve">), </w:t>
      </w:r>
      <w:r>
        <w:rPr>
          <w:b/>
          <w:color w:val="8B1A1A"/>
          <w:sz w:val="22"/>
        </w:rPr>
        <w:t>the BlogPosting layout already auto-generates Organization, Person (Federico), BlogPosting, FAQPage, and BreadcrumbList</w:t>
      </w:r>
      <w:r>
        <w:rPr>
          <w:color w:val="8B1A1A"/>
          <w:sz w:val="22"/>
        </w:rPr>
        <w:t xml:space="preserve">. GetCito must not re-declare those in the MDX </w:t>
      </w:r>
      <w:r>
        <w:rPr>
          <w:rFonts w:ascii="Menlo" w:hAnsi="Menlo"/>
          <w:color w:val="8B1A1A"/>
          <w:sz w:val="20"/>
        </w:rPr>
        <w:t>@graph</w:t>
      </w:r>
      <w:r>
        <w:rPr>
          <w:color w:val="8B1A1A"/>
          <w:sz w:val="22"/>
        </w:rPr>
        <w:t xml:space="preserve"> or rich results get downgraded.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b/>
          <w:color w:val="8B1A1A"/>
          <w:sz w:val="22"/>
        </w:rPr>
        <w:t>Schemas this post uniquely needs (NOT auto-generated by layout):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FFF0F0"/>
          </w:tcPr>
          <w:p>
            <w:r/>
            <w:r>
              <w:rPr>
                <w:b/>
                <w:color w:val="8B1A1A"/>
                <w:sz w:val="22"/>
              </w:rPr>
              <w:t>Schema</w:t>
            </w:r>
          </w:p>
        </w:tc>
        <w:tc>
          <w:tcPr>
            <w:tcW w:type="dxa" w:w="3216"/>
            <w:shd w:val="clear" w:color="auto" w:fill="FFF0F0"/>
          </w:tcPr>
          <w:p>
            <w:r/>
            <w:r>
              <w:rPr>
                <w:b/>
                <w:color w:val="8B1A1A"/>
                <w:sz w:val="22"/>
              </w:rPr>
              <w:t>Where it lives</w:t>
            </w:r>
          </w:p>
        </w:tc>
        <w:tc>
          <w:tcPr>
            <w:tcW w:type="dxa" w:w="3216"/>
            <w:shd w:val="clear" w:color="auto" w:fill="FFF0F0"/>
          </w:tcPr>
          <w:p>
            <w:r/>
            <w:r>
              <w:rPr>
                <w:b/>
                <w:color w:val="8B1A1A"/>
                <w:sz w:val="22"/>
              </w:rPr>
              <w:t>Why</w:t>
            </w:r>
          </w:p>
        </w:tc>
      </w:tr>
      <w:tr>
        <w:tc>
          <w:tcPr>
            <w:tcW w:type="dxa" w:w="3216"/>
            <w:shd w:val="clear" w:color="auto" w:fill="FFF0F0"/>
          </w:tcPr>
          <w:p>
            <w:r/>
            <w:r>
              <w:rPr>
                <w:rFonts w:ascii="Menlo" w:hAnsi="Menlo"/>
                <w:color w:val="8B1A1A"/>
                <w:sz w:val="20"/>
              </w:rPr>
              <w:t>HowTo</w:t>
            </w:r>
          </w:p>
        </w:tc>
        <w:tc>
          <w:tcPr>
            <w:tcW w:type="dxa" w:w="3216"/>
            <w:shd w:val="clear" w:color="auto" w:fill="FFF0F0"/>
          </w:tcPr>
          <w:p>
            <w:r/>
            <w:r>
              <w:rPr>
                <w:color w:val="8B1A1A"/>
                <w:sz w:val="22"/>
              </w:rPr>
              <w:t>§9 (12-Month Runbook)</w:t>
            </w:r>
          </w:p>
        </w:tc>
        <w:tc>
          <w:tcPr>
            <w:tcW w:type="dxa" w:w="3216"/>
            <w:shd w:val="clear" w:color="auto" w:fill="FFF0F0"/>
          </w:tcPr>
          <w:p>
            <w:r/>
            <w:r>
              <w:rPr>
                <w:color w:val="8B1A1A"/>
                <w:sz w:val="22"/>
              </w:rPr>
              <w:t>5 time-phased milestones with concrete actions → HowTo is the right type</w:t>
            </w:r>
          </w:p>
        </w:tc>
      </w:tr>
      <w:tr>
        <w:tc>
          <w:tcPr>
            <w:tcW w:type="dxa" w:w="3216"/>
            <w:shd w:val="clear" w:color="auto" w:fill="FFF0F0"/>
          </w:tcPr>
          <w:p>
            <w:r/>
            <w:r>
              <w:rPr>
                <w:rFonts w:ascii="Menlo" w:hAnsi="Menlo"/>
                <w:color w:val="8B1A1A"/>
                <w:sz w:val="20"/>
              </w:rPr>
              <w:t>ItemList</w:t>
            </w:r>
          </w:p>
        </w:tc>
        <w:tc>
          <w:tcPr>
            <w:tcW w:type="dxa" w:w="3216"/>
            <w:shd w:val="clear" w:color="auto" w:fill="FFF0F0"/>
          </w:tcPr>
          <w:p>
            <w:r/>
            <w:r>
              <w:rPr>
                <w:color w:val="8B1A1A"/>
                <w:sz w:val="22"/>
              </w:rPr>
              <w:t>§4 (Three Archetypes table)</w:t>
            </w:r>
          </w:p>
        </w:tc>
        <w:tc>
          <w:tcPr>
            <w:tcW w:type="dxa" w:w="3216"/>
            <w:shd w:val="clear" w:color="auto" w:fill="FFF0F0"/>
          </w:tcPr>
          <w:p>
            <w:r/>
            <w:r>
              <w:rPr>
                <w:color w:val="8B1A1A"/>
                <w:sz w:val="22"/>
              </w:rPr>
              <w:t>3-archetype comparison; matches Google's ItemList rich-result pattern</w:t>
            </w:r>
          </w:p>
        </w:tc>
      </w:tr>
      <w:tr>
        <w:tc>
          <w:tcPr>
            <w:tcW w:type="dxa" w:w="3216"/>
            <w:shd w:val="clear" w:color="auto" w:fill="FFF0F0"/>
          </w:tcPr>
          <w:p>
            <w:r/>
            <w:r>
              <w:rPr>
                <w:rFonts w:ascii="Menlo" w:hAnsi="Menlo"/>
                <w:color w:val="8B1A1A"/>
                <w:sz w:val="20"/>
              </w:rPr>
              <w:t>ItemList</w:t>
            </w:r>
          </w:p>
        </w:tc>
        <w:tc>
          <w:tcPr>
            <w:tcW w:type="dxa" w:w="3216"/>
            <w:shd w:val="clear" w:color="auto" w:fill="FFF0F0"/>
          </w:tcPr>
          <w:p>
            <w:r/>
            <w:r>
              <w:rPr>
                <w:color w:val="8B1A1A"/>
                <w:sz w:val="22"/>
              </w:rPr>
              <w:t>§10 (Common Mistakes)</w:t>
            </w:r>
          </w:p>
        </w:tc>
        <w:tc>
          <w:tcPr>
            <w:tcW w:type="dxa" w:w="3216"/>
            <w:shd w:val="clear" w:color="auto" w:fill="FFF0F0"/>
          </w:tcPr>
          <w:p>
            <w:r/>
            <w:r>
              <w:rPr>
                <w:color w:val="8B1A1A"/>
                <w:sz w:val="22"/>
              </w:rPr>
              <w:t>6–7 item diagnostic list — same pattern Blog 7's "7 Signs" uses</w:t>
            </w:r>
          </w:p>
        </w:tc>
      </w:tr>
    </w:tbl>
    <w:p/>
    <w:p>
      <w:pPr>
        <w:shd w:val="clear" w:color="auto" w:fill="FFF0F0"/>
        <w:pBdr>
          <w:left w:val="single" w:sz="24" w:space="8" w:color="8B1A1A"/>
        </w:pBdr>
      </w:pPr>
      <w:r>
        <w:rPr>
          <w:color w:val="8B1A1A"/>
          <w:sz w:val="22"/>
        </w:rPr>
        <w:t xml:space="preserve">Use Astro's </w:t>
      </w:r>
      <w:r>
        <w:rPr>
          <w:rFonts w:ascii="Menlo" w:hAnsi="Menlo"/>
          <w:color w:val="8B1A1A"/>
          <w:sz w:val="20"/>
        </w:rPr>
        <w:t>set:html={JSON.stringify(...)}</w:t>
      </w:r>
      <w:r>
        <w:rPr>
          <w:color w:val="8B1A1A"/>
          <w:sz w:val="22"/>
        </w:rPr>
        <w:t xml:space="preserve"> wrapper inside the MDX (NOT raw inline </w:t>
      </w:r>
      <w:r>
        <w:rPr>
          <w:rFonts w:ascii="Menlo" w:hAnsi="Menlo"/>
          <w:color w:val="8B1A1A"/>
          <w:sz w:val="20"/>
        </w:rPr>
        <w:t>&lt;script&gt;{...}&lt;/script&gt;</w:t>
      </w:r>
      <w:r>
        <w:rPr>
          <w:color w:val="8B1A1A"/>
          <w:sz w:val="22"/>
        </w:rPr>
        <w:t xml:space="preserve"> — that breaks the MDX parser). Add a writer instruction in the brief noting this so the dev who commits the MDX doesn't re-add the duplicates.</w:t>
      </w:r>
    </w:p>
    <w:p/>
    <w:p>
      <w:pPr>
        <w:shd w:val="clear" w:color="auto" w:fill="FFF0F0"/>
        <w:pBdr>
          <w:left w:val="single" w:sz="24" w:space="8" w:color="8B1A1A"/>
        </w:pBdr>
      </w:pPr>
      <w:r>
        <w:rPr>
          <w:b/>
          <w:color w:val="5A0000"/>
          <w:sz w:val="18"/>
        </w:rPr>
        <w:t>FIX 3 — INTERNAL-LINK PLAN MISSING THE JUST-SHIPPED BLOG 7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color w:val="8B1A1A"/>
          <w:sz w:val="22"/>
        </w:rPr>
        <w:t>Blog 7 (</w:t>
      </w:r>
      <w:r>
        <w:rPr>
          <w:i/>
          <w:color w:val="8B1A1A"/>
          <w:sz w:val="22"/>
        </w:rPr>
        <w:t>"When (And When Not) to Hire One"</w:t>
      </w:r>
      <w:r>
        <w:rPr>
          <w:color w:val="8B1A1A"/>
          <w:sz w:val="22"/>
        </w:rPr>
        <w:t xml:space="preserve">) shipped 2026-06-09 at </w:t>
      </w:r>
      <w:r>
        <w:rPr>
          <w:rFonts w:ascii="Menlo" w:hAnsi="Menlo"/>
          <w:color w:val="8B1A1A"/>
          <w:sz w:val="20"/>
        </w:rPr>
        <w:t>/blog/airbnb-revenue-management-company/</w:t>
      </w:r>
      <w:r>
        <w:rPr>
          <w:color w:val="8B1A1A"/>
          <w:sz w:val="22"/>
        </w:rPr>
        <w:t xml:space="preserve"> — natural cross-link target for this piece because §9 and §11 both reach the moment where the operator is weighing whether to hand off pricing.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b/>
          <w:color w:val="8B1A1A"/>
          <w:sz w:val="22"/>
        </w:rPr>
        <w:t>Add to the internal-link plan: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FFF0F0"/>
          </w:tcPr>
          <w:p>
            <w:r/>
            <w:r>
              <w:rPr>
                <w:b/>
                <w:color w:val="8B1A1A"/>
                <w:sz w:val="22"/>
              </w:rPr>
              <w:t>Anchor</w:t>
            </w:r>
          </w:p>
        </w:tc>
        <w:tc>
          <w:tcPr>
            <w:tcW w:type="dxa" w:w="3216"/>
            <w:shd w:val="clear" w:color="auto" w:fill="FFF0F0"/>
          </w:tcPr>
          <w:p>
            <w:r/>
            <w:r>
              <w:rPr>
                <w:b/>
                <w:color w:val="8B1A1A"/>
                <w:sz w:val="22"/>
              </w:rPr>
              <w:t>Target</w:t>
            </w:r>
          </w:p>
        </w:tc>
        <w:tc>
          <w:tcPr>
            <w:tcW w:type="dxa" w:w="3216"/>
            <w:shd w:val="clear" w:color="auto" w:fill="FFF0F0"/>
          </w:tcPr>
          <w:p>
            <w:r/>
            <w:r>
              <w:rPr>
                <w:b/>
                <w:color w:val="8B1A1A"/>
                <w:sz w:val="22"/>
              </w:rPr>
              <w:t>Section</w:t>
            </w:r>
          </w:p>
        </w:tc>
      </w:tr>
      <w:tr>
        <w:tc>
          <w:tcPr>
            <w:tcW w:type="dxa" w:w="3216"/>
            <w:shd w:val="clear" w:color="auto" w:fill="FFF0F0"/>
          </w:tcPr>
          <w:p>
            <w:r/>
            <w:r>
              <w:rPr>
                <w:color w:val="8B1A1A"/>
                <w:sz w:val="22"/>
              </w:rPr>
              <w:t>"when to hire an Airbnb revenue management company"</w:t>
            </w:r>
          </w:p>
        </w:tc>
        <w:tc>
          <w:tcPr>
            <w:tcW w:type="dxa" w:w="3216"/>
            <w:shd w:val="clear" w:color="auto" w:fill="FFF0F0"/>
          </w:tcPr>
          <w:p>
            <w:r/>
            <w:r>
              <w:rPr>
                <w:color w:val="8B1A1A"/>
                <w:sz w:val="22"/>
              </w:rPr>
              <w:t>/blog/airbnb-revenue-management-company/</w:t>
            </w:r>
          </w:p>
        </w:tc>
        <w:tc>
          <w:tcPr>
            <w:tcW w:type="dxa" w:w="3216"/>
            <w:shd w:val="clear" w:color="auto" w:fill="FFF0F0"/>
          </w:tcPr>
          <w:p>
            <w:r/>
            <w:r>
              <w:rPr>
                <w:color w:val="8B1A1A"/>
                <w:sz w:val="22"/>
              </w:rPr>
              <w:t>§11 (closing — the natural pivot moment)</w:t>
            </w:r>
          </w:p>
        </w:tc>
      </w:tr>
      <w:tr>
        <w:tc>
          <w:tcPr>
            <w:tcW w:type="dxa" w:w="3216"/>
            <w:shd w:val="clear" w:color="auto" w:fill="FFF0F0"/>
          </w:tcPr>
          <w:p>
            <w:r/>
            <w:r>
              <w:rPr>
                <w:color w:val="8B1A1A"/>
                <w:sz w:val="22"/>
              </w:rPr>
              <w:t>"the seven signs you've outgrown DIY pricing"</w:t>
            </w:r>
          </w:p>
        </w:tc>
        <w:tc>
          <w:tcPr>
            <w:tcW w:type="dxa" w:w="3216"/>
            <w:shd w:val="clear" w:color="auto" w:fill="FFF0F0"/>
          </w:tcPr>
          <w:p>
            <w:r/>
            <w:r>
              <w:rPr>
                <w:color w:val="8B1A1A"/>
                <w:sz w:val="22"/>
              </w:rPr>
              <w:t>/blog/airbnb-revenue-management-company/#signs</w:t>
            </w:r>
          </w:p>
        </w:tc>
        <w:tc>
          <w:tcPr>
            <w:tcW w:type="dxa" w:w="3216"/>
            <w:shd w:val="clear" w:color="auto" w:fill="FFF0F0"/>
          </w:tcPr>
          <w:p>
            <w:r/>
            <w:r>
              <w:rPr>
                <w:color w:val="8B1A1A"/>
                <w:sz w:val="22"/>
              </w:rPr>
              <w:t>§10 (Common Mistakes — a tighter cluster bridge)</w:t>
            </w:r>
          </w:p>
        </w:tc>
      </w:tr>
    </w:tbl>
    <w:p/>
    <w:p>
      <w:pPr>
        <w:shd w:val="clear" w:color="auto" w:fill="FFF0F0"/>
        <w:pBdr>
          <w:left w:val="single" w:sz="24" w:space="8" w:color="8B1A1A"/>
        </w:pBdr>
      </w:pPr>
      <w:r>
        <w:rPr>
          <w:color w:val="8B1A1A"/>
          <w:sz w:val="22"/>
        </w:rPr>
        <w:t>Both anchors point a reader who has just learned event pricing is "a discipline most hosts skip" (§3 close) into the hiring-decision page. That's exactly the funnel Blog 7 was built to land at.</w:t>
      </w:r>
    </w:p>
    <w:p/>
    <w:p>
      <w:pPr>
        <w:pBdr>
          <w:bottom w:val="single" w:sz="6" w:space="1" w:color="999999"/>
        </w:pBdr>
      </w:pPr>
      <w:r>
        <w:rPr>
          <w:b/>
          <w:color w:val="222222"/>
          <w:sz w:val="30"/>
        </w:rPr>
        <w:t>Editorial flags (drafting-phase, not blocking)</w:t>
      </w:r>
    </w:p>
    <w:p>
      <w:pPr>
        <w:shd w:val="clear" w:color="auto" w:fill="F0FFF5"/>
        <w:pBdr>
          <w:left w:val="single" w:sz="24" w:space="8" w:color="0A7A3C"/>
        </w:pBdr>
      </w:pPr>
      <w:r>
        <w:rPr>
          <w:color w:val="0A7A3C"/>
          <w:sz w:val="22"/>
        </w:rPr>
        <w:t>GetCito already flagged this in the brief — just calling it out</w:t>
      </w:r>
    </w:p>
    <w:p>
      <w:pPr>
        <w:shd w:val="clear" w:color="auto" w:fill="F0FFF5"/>
        <w:pBdr>
          <w:left w:val="single" w:sz="24" w:space="8" w:color="0A7A3C"/>
        </w:pBdr>
      </w:pPr>
      <w:r>
        <w:rPr>
          <w:b/>
          <w:color w:val="0A7A3C"/>
          <w:sz w:val="22"/>
        </w:rPr>
        <w:t>Keyword targeting — validate before drafting.</w:t>
      </w:r>
      <w:r>
        <w:rPr>
          <w:color w:val="0A7A3C"/>
          <w:sz w:val="22"/>
        </w:rPr>
        <w:t xml:space="preserve"> Brief flags this itself: </w:t>
      </w:r>
      <w:r>
        <w:rPr>
          <w:i/>
          <w:color w:val="0A7A3C"/>
          <w:sz w:val="22"/>
        </w:rPr>
        <w:t>"confirm head term against client volume data."</w:t>
      </w:r>
      <w:r>
        <w:rPr>
          <w:color w:val="0A7A3C"/>
          <w:sz w:val="22"/>
        </w:rPr>
        <w:t xml:space="preserve"> Primary </w:t>
      </w:r>
      <w:r>
        <w:rPr>
          <w:i/>
          <w:color w:val="0A7A3C"/>
          <w:sz w:val="22"/>
        </w:rPr>
        <w:t>"F1 race weekend revenue strategy"</w:t>
      </w:r>
      <w:r>
        <w:rPr>
          <w:color w:val="0A7A3C"/>
          <w:sz w:val="22"/>
        </w:rPr>
        <w:t xml:space="preserve"> is operator-framed but probably sub-100/mo. Secondary </w:t>
      </w:r>
      <w:r>
        <w:rPr>
          <w:i/>
          <w:color w:val="0A7A3C"/>
          <w:sz w:val="22"/>
        </w:rPr>
        <w:t>"F1 Airbnb pricing"</w:t>
      </w:r>
      <w:r>
        <w:rPr>
          <w:color w:val="0A7A3C"/>
          <w:sz w:val="22"/>
        </w:rPr>
        <w:t xml:space="preserve"> + </w:t>
      </w:r>
      <w:r>
        <w:rPr>
          <w:i/>
          <w:color w:val="0A7A3C"/>
          <w:sz w:val="22"/>
        </w:rPr>
        <w:t>"Grand Prix short-term rental revenue"</w:t>
      </w:r>
      <w:r>
        <w:rPr>
          <w:color w:val="0A7A3C"/>
          <w:sz w:val="22"/>
        </w:rPr>
        <w:t xml:space="preserve"> likely have more real volume. Worth a quick Ahrefs/DataForSEO pull before drafting — same discipline as Blog 6 + Blog 7 SERP audits.</w:t>
      </w:r>
    </w:p>
    <w:p>
      <w:pPr>
        <w:shd w:val="clear" w:color="auto" w:fill="F0FFF5"/>
        <w:pBdr>
          <w:left w:val="single" w:sz="24" w:space="8" w:color="0A7A3C"/>
        </w:pBdr>
      </w:pPr>
      <w:r>
        <w:rPr>
          <w:color w:val="0A7A3C"/>
          <w:sz w:val="22"/>
        </w:rPr>
        <w:t>If the head term comes in low (&lt;50/mo), this is an AEO-first play (which the brief is structurally suited for — answer-first §3 + FAQ schema + 8 voice-search Qs). Don't let the SEO traffic number distract from the AEO upside.</w:t>
      </w:r>
    </w:p>
    <w:p/>
    <w:p>
      <w:pPr>
        <w:shd w:val="clear" w:color="auto" w:fill="F0F5FF"/>
        <w:pBdr>
          <w:left w:val="single" w:sz="24" w:space="8" w:color="1A4FBF"/>
        </w:pBdr>
      </w:pPr>
      <w:r>
        <w:rPr>
          <w:b/>
          <w:color w:val="0A2E80"/>
          <w:sz w:val="18"/>
        </w:rPr>
        <w:t>REVFACTOR-SIDE FLAG — PRICING REFERENCES (SAFETY CHECK)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color w:val="1A4FBF"/>
          <w:sz w:val="22"/>
        </w:rPr>
        <w:t xml:space="preserve">2026-06-09 pricing model is now flat </w:t>
      </w:r>
      <w:r>
        <w:rPr>
          <w:b/>
          <w:color w:val="1A4FBF"/>
          <w:sz w:val="22"/>
        </w:rPr>
        <w:t>$350/month per property</w:t>
      </w:r>
      <w:r>
        <w:rPr>
          <w:color w:val="1A4FBF"/>
          <w:sz w:val="22"/>
        </w:rPr>
        <w:t xml:space="preserve"> (was $320 sliding to $256) with </w:t>
      </w:r>
      <w:r>
        <w:rPr>
          <w:b/>
          <w:color w:val="1A4FBF"/>
          <w:sz w:val="22"/>
        </w:rPr>
        <w:t>$150 onboarding</w:t>
      </w:r>
      <w:r>
        <w:rPr>
          <w:color w:val="1A4FBF"/>
          <w:sz w:val="22"/>
        </w:rPr>
        <w:t xml:space="preserve"> (was $125). The brief correctly does NOT surface RevFactor pricing — event-pricing playbook doesn't need it. Just confirm during drafting that no "$320" / "$256" / "$125" slips into §8 or §11 from copy-paste habit. If a fee comes up at all, use $350 / $150.</w:t>
      </w:r>
    </w:p>
    <w:p/>
    <w:p>
      <w:pPr>
        <w:shd w:val="clear" w:color="auto" w:fill="F0F5FF"/>
        <w:pBdr>
          <w:left w:val="single" w:sz="24" w:space="8" w:color="1A4FBF"/>
        </w:pBdr>
      </w:pPr>
      <w:r>
        <w:rPr>
          <w:b/>
          <w:color w:val="0A2E80"/>
          <w:sz w:val="18"/>
        </w:rPr>
        <w:t>REVFACTOR-SIDE FLAG — WORD-COUNT BUDGET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color w:val="1A4FBF"/>
          <w:sz w:val="22"/>
        </w:rPr>
        <w:t xml:space="preserve">Section-format estimates (Key Takeaways 200 + Hook 250 + §3 350 + §4 350 + §5 400 + §6 400 + §7 450 + §8 350 + §9 250 + §10 200 + §11 250 + FAQ 400) sum to </w:t>
      </w:r>
      <w:r>
        <w:rPr>
          <w:b/>
          <w:color w:val="1A4FBF"/>
          <w:sz w:val="22"/>
        </w:rPr>
        <w:t>~3,850 words</w:t>
      </w:r>
      <w:r>
        <w:rPr>
          <w:color w:val="1A4FBF"/>
          <w:sz w:val="22"/>
        </w:rPr>
        <w:t xml:space="preserve"> — about 10% over the stated 3,500 target. Either approve the higher target explicitly or trim §7 (Vegas) by 50 words and the FAQ by 100 (drop FAQ Q3 and Q8 — both rephrase points already covered in §6 and §5 respectively).</w:t>
      </w:r>
    </w:p>
    <w:p/>
    <w:p>
      <w:pPr>
        <w:shd w:val="clear" w:color="auto" w:fill="F0F5FF"/>
        <w:pBdr>
          <w:left w:val="single" w:sz="24" w:space="8" w:color="1A4FBF"/>
        </w:pBdr>
      </w:pPr>
      <w:r>
        <w:rPr>
          <w:b/>
          <w:color w:val="0A2E80"/>
          <w:sz w:val="18"/>
        </w:rPr>
        <w:t>REVFACTOR-SIDE FLAG — VEGAS §7 2025 STAT NEEDS A PRIMARY SOURCE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color w:val="1A4FBF"/>
          <w:sz w:val="22"/>
        </w:rPr>
        <w:t>The 2023→2024 numbers ($249.31 → $198.72 ADR; $1.5B → $934M economic impact) are well-sourced. The "</w:t>
      </w:r>
      <w:r>
        <w:rPr>
          <w:b/>
          <w:color w:val="1A4FBF"/>
          <w:sz w:val="22"/>
        </w:rPr>
        <w:t>accommodation costs fell a further ~24% in 2025 (Airbnb specifically -22.4%)</w:t>
      </w:r>
      <w:r>
        <w:rPr>
          <w:color w:val="1A4FBF"/>
          <w:sz w:val="22"/>
        </w:rPr>
        <w:t>" claim needs a primary source citation in the brief — currently grouped under "VegasInsider" but the 2025 -22.4% Airbnb figure needs its own AirDNA / AirROI lookup before drafting. If it can't be sourced cleanly, drop it and rely on the 2023→2024 story (which is sourced and load-bearing).</w:t>
      </w:r>
    </w:p>
    <w:p/>
    <w:p>
      <w:pPr>
        <w:shd w:val="clear" w:color="auto" w:fill="F0F5FF"/>
        <w:pBdr>
          <w:left w:val="single" w:sz="24" w:space="8" w:color="1A4FBF"/>
        </w:pBdr>
      </w:pPr>
      <w:r>
        <w:rPr>
          <w:b/>
          <w:color w:val="0A2E80"/>
          <w:sz w:val="18"/>
        </w:rPr>
        <w:t>REVFACTOR-SIDE FLAG — HUANG SSRN 2025 "3–4 PRICE POINTS/YEAR"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color w:val="1A4FBF"/>
          <w:sz w:val="22"/>
        </w:rPr>
        <w:t>The §3 anchor stat (</w:t>
      </w:r>
      <w:r>
        <w:rPr>
          <w:i/>
          <w:color w:val="1A4FBF"/>
          <w:sz w:val="22"/>
        </w:rPr>
        <w:t>"the median Airbnb host sets only three to four price points per year"</w:t>
      </w:r>
      <w:r>
        <w:rPr>
          <w:color w:val="1A4FBF"/>
          <w:sz w:val="22"/>
        </w:rPr>
        <w:t xml:space="preserve">) is sourced to Huang, </w:t>
      </w:r>
      <w:r>
        <w:rPr>
          <w:i/>
          <w:color w:val="1A4FBF"/>
          <w:sz w:val="22"/>
        </w:rPr>
        <w:t>Pricing Frictions and Platform Remedies</w:t>
      </w:r>
      <w:r>
        <w:rPr>
          <w:color w:val="1A4FBF"/>
          <w:sz w:val="22"/>
        </w:rPr>
        <w:t xml:space="preserve"> (SSRN, 2025). SSRN hosts both peer-reviewed papers and working-paper preprints. Before drafting, confirm this paper is either (a) accepted at a peer-reviewed venue, or (b) is a working paper from a credible institution. If neither, downgrade the prose from "research shows" to "one academic analysis suggests" and link to the SSRN page.</w:t>
      </w:r>
    </w:p>
    <w:p/>
    <w:p>
      <w:pPr>
        <w:shd w:val="clear" w:color="auto" w:fill="F0F5FF"/>
        <w:pBdr>
          <w:left w:val="single" w:sz="24" w:space="8" w:color="1A4FBF"/>
        </w:pBdr>
      </w:pPr>
      <w:r>
        <w:rPr>
          <w:b/>
          <w:color w:val="0A2E80"/>
          <w:sz w:val="18"/>
        </w:rPr>
        <w:t>REVFACTOR-SIDE FLAG — NUMBERING / NAMING CONVENTION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color w:val="1A4FBF"/>
          <w:sz w:val="22"/>
        </w:rPr>
        <w:t xml:space="preserve">Per the 2026-05-29 lock, we're on </w:t>
      </w:r>
      <w:r>
        <w:rPr>
          <w:b/>
          <w:color w:val="1A4FBF"/>
          <w:sz w:val="22"/>
        </w:rPr>
        <w:t>Option A (Sequential Blog 1–N)</w:t>
      </w:r>
      <w:r>
        <w:rPr>
          <w:color w:val="1A4FBF"/>
          <w:sz w:val="22"/>
        </w:rPr>
        <w:t>. This is Blog 9 (after pillar, Blog 4 listicle, Blog 5 PM listicle, ADR/RevPAR, RevFactor Method, Comp Set, FIFA, Dynamic Pricing v2, Blog 7). Tell GetCito the file should be tracked as Blog 9 in the next status update.</w:t>
      </w:r>
    </w:p>
    <w:p/>
    <w:p>
      <w:pPr>
        <w:pBdr>
          <w:bottom w:val="single" w:sz="6" w:space="1" w:color="999999"/>
        </w:pBdr>
      </w:pPr>
      <w:r>
        <w:rPr>
          <w:b/>
          <w:color w:val="222222"/>
          <w:sz w:val="30"/>
        </w:rPr>
        <w:t>What's working that we should keep doing</w:t>
      </w:r>
    </w:p>
    <w:p>
      <w:pPr>
        <w:shd w:val="clear" w:color="auto" w:fill="F0FFF5"/>
        <w:pBdr>
          <w:left w:val="single" w:sz="24" w:space="8" w:color="0A7A3C"/>
        </w:pBdr>
      </w:pPr>
      <w:r>
        <w:rPr>
          <w:color w:val="0A7A3C"/>
          <w:sz w:val="22"/>
        </w:rPr>
        <w:t>Editorial discipline GetCito has internalized — keep applying to future outlines</w:t>
      </w:r>
    </w:p>
    <w:p>
      <w:pPr>
        <w:pStyle w:val="ListBullet"/>
      </w:pPr>
      <w:r>
        <w:rPr>
          <w:b/>
          <w:color w:val="0A7A3C"/>
          <w:sz w:val="22"/>
        </w:rPr>
        <w:t>Timing &amp; Framing Note at the top of every brief</w:t>
      </w:r>
      <w:r>
        <w:rPr>
          <w:color w:val="0A7A3C"/>
          <w:sz w:val="22"/>
        </w:rPr>
        <w:t xml:space="preserve"> — apply to every event-pricing or seasonal post going forward (next: 2026-2027 winter peak post if commissioned).</w:t>
      </w:r>
    </w:p>
    <w:p>
      <w:pPr>
        <w:pStyle w:val="ListBullet"/>
      </w:pPr>
      <w:r>
        <w:rPr>
          <w:b/>
          <w:color w:val="0A7A3C"/>
          <w:sz w:val="22"/>
        </w:rPr>
        <w:t>Sources inline with every stat</w:t>
      </w:r>
      <w:r>
        <w:rPr>
          <w:color w:val="0A7A3C"/>
          <w:sz w:val="22"/>
        </w:rPr>
        <w:t xml:space="preserve"> — every brief should do this. If GetCito can't source a stat in 30 seconds of search, it doesn't go in.</w:t>
      </w:r>
    </w:p>
    <w:p>
      <w:pPr>
        <w:pStyle w:val="ListBullet"/>
      </w:pPr>
      <w:r>
        <w:rPr>
          <w:b/>
          <w:color w:val="0A7A3C"/>
          <w:sz w:val="22"/>
        </w:rPr>
        <w:t>"No fabricated Federico quotes — flag where one would add weight"</w:t>
      </w:r>
      <w:r>
        <w:rPr>
          <w:color w:val="0A7A3C"/>
          <w:sz w:val="22"/>
        </w:rPr>
        <w:t xml:space="preserve"> — exactly the rule we want on every brief. The "let the client provide it" framing prevents the chronic "Federico said X (verify before draft)" pattern that delayed Blog 6.</w:t>
      </w:r>
    </w:p>
    <w:p>
      <w:pPr>
        <w:pStyle w:val="ListBullet"/>
      </w:pPr>
      <w:r>
        <w:rPr>
          <w:b/>
          <w:color w:val="0A7A3C"/>
          <w:sz w:val="22"/>
        </w:rPr>
        <w:t>Banned-phrases list embedded in every brief</w:t>
      </w:r>
      <w:r>
        <w:rPr>
          <w:color w:val="0A7A3C"/>
          <w:sz w:val="22"/>
        </w:rPr>
        <w:t xml:space="preserve"> — keep doing this; the writer doesn't have to re-read the persona guide each time.</w:t>
      </w:r>
    </w:p>
    <w:p>
      <w:pPr>
        <w:pStyle w:val="ListBullet"/>
      </w:pPr>
      <w:r>
        <w:rPr>
          <w:b/>
          <w:color w:val="0A7A3C"/>
          <w:sz w:val="22"/>
        </w:rPr>
        <w:t>US spelling flagged explicitly</w:t>
      </w:r>
      <w:r>
        <w:rPr>
          <w:color w:val="0A7A3C"/>
          <w:sz w:val="22"/>
        </w:rPr>
        <w:t xml:space="preserve"> — this is the safeguard against the British-spelling slip the RevFactor Method post hit.</w:t>
      </w:r>
    </w:p>
    <w:p>
      <w:pPr>
        <w:pStyle w:val="ListBullet"/>
      </w:pPr>
      <w:r>
        <w:rPr>
          <w:b/>
          <w:color w:val="0A7A3C"/>
          <w:sz w:val="22"/>
        </w:rPr>
        <w:t>Two named, proprietary frameworks per piece</w:t>
      </w:r>
      <w:r>
        <w:rPr>
          <w:color w:val="0A7A3C"/>
          <w:sz w:val="22"/>
        </w:rPr>
        <w:t xml:space="preserve"> — Three Archetypes + Event-Pricing Framework. The cluster needs this — each post that does NOT add a named framework is a missed citation opportunity in AI search.</w:t>
      </w:r>
    </w:p>
    <w:p>
      <w:pPr>
        <w:pStyle w:val="ListBullet"/>
      </w:pPr>
      <w:r>
        <w:rPr>
          <w:b/>
          <w:color w:val="0A7A3C"/>
          <w:sz w:val="22"/>
        </w:rPr>
        <w:t>Answer-first structured answers for AEO</w:t>
      </w:r>
      <w:r>
        <w:rPr>
          <w:color w:val="0A7A3C"/>
          <w:sz w:val="22"/>
        </w:rPr>
        <w:t xml:space="preserve"> — every section has the "45-word AI-snippet target" block. This is correctly the brief-template standard now.</w:t>
      </w:r>
    </w:p>
    <w:p/>
    <w:p>
      <w:pPr>
        <w:pBdr>
          <w:bottom w:val="single" w:sz="6" w:space="1" w:color="999999"/>
        </w:pBdr>
      </w:pPr>
      <w:r>
        <w:rPr>
          <w:b/>
          <w:color w:val="222222"/>
          <w:sz w:val="30"/>
        </w:rPr>
        <w:t>Pre-draft checklist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b/>
          <w:color w:val="0A2E80"/>
          <w:sz w:val="18"/>
        </w:rPr>
        <w:t>SEND-BACK SUMMARY FOR GETCITO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b/>
          <w:color w:val="1A4FBF"/>
          <w:sz w:val="22"/>
        </w:rPr>
        <w:t>3 must-fix items:</w:t>
      </w:r>
    </w:p>
    <w:p>
      <w:pPr>
        <w:pStyle w:val="ListNumber"/>
      </w:pPr>
      <w:r>
        <w:rPr>
          <w:b/>
          <w:color w:val="1A4FBF"/>
          <w:sz w:val="22"/>
        </w:rPr>
        <w:t xml:space="preserve">Drop the </w:t>
      </w:r>
      <w:r>
        <w:rPr>
          <w:rFonts w:ascii="Menlo" w:hAnsi="Menlo"/>
          <w:b/>
          <w:color w:val="1A4FBF"/>
          <w:sz w:val="20"/>
        </w:rPr>
        <w:t>slug:</w:t>
      </w:r>
      <w:r>
        <w:rPr>
          <w:b/>
          <w:color w:val="1A4FBF"/>
          <w:sz w:val="22"/>
        </w:rPr>
        <w:t xml:space="preserve"> field</w:t>
      </w:r>
      <w:r>
        <w:rPr>
          <w:color w:val="1A4FBF"/>
          <w:sz w:val="22"/>
        </w:rPr>
        <w:t xml:space="preserve"> from frontmatter — let Astro filename-route. Suggested filename: </w:t>
      </w:r>
      <w:r>
        <w:rPr>
          <w:rFonts w:ascii="Menlo" w:hAnsi="Menlo"/>
          <w:color w:val="1A4FBF"/>
          <w:sz w:val="20"/>
        </w:rPr>
        <w:t>f1-race-weekend-str-pricing-playbook.mdx</w:t>
      </w:r>
    </w:p>
    <w:p>
      <w:pPr>
        <w:pStyle w:val="ListNumber"/>
      </w:pPr>
      <w:r>
        <w:rPr>
          <w:b/>
          <w:color w:val="1A4FBF"/>
          <w:sz w:val="22"/>
        </w:rPr>
        <w:t>Add JSON-LD schema package block</w:t>
      </w:r>
      <w:r>
        <w:rPr>
          <w:color w:val="1A4FBF"/>
          <w:sz w:val="22"/>
        </w:rPr>
        <w:t xml:space="preserve"> to the brief: HowTo on §9 runbook + ItemList on §4 archetypes + ItemList on §10 mistakes. Wrap in Astro's </w:t>
      </w:r>
      <w:r>
        <w:rPr>
          <w:rFonts w:ascii="Menlo" w:hAnsi="Menlo"/>
          <w:color w:val="1A4FBF"/>
          <w:sz w:val="20"/>
        </w:rPr>
        <w:t>set:html={JSON.stringify(...)}</w:t>
      </w:r>
      <w:r>
        <w:rPr>
          <w:color w:val="1A4FBF"/>
          <w:sz w:val="22"/>
        </w:rPr>
        <w:t xml:space="preserve"> pattern; do NOT re-declare BlogPosting / FAQPage / BreadcrumbList / Person / Organization (the layout already emits those).</w:t>
      </w:r>
    </w:p>
    <w:p>
      <w:pPr>
        <w:pStyle w:val="ListNumber"/>
      </w:pPr>
      <w:r>
        <w:rPr>
          <w:b/>
          <w:color w:val="1A4FBF"/>
          <w:sz w:val="22"/>
        </w:rPr>
        <w:t>Add Blog 7 to internal links</w:t>
      </w:r>
      <w:r>
        <w:rPr>
          <w:color w:val="1A4FBF"/>
          <w:sz w:val="22"/>
        </w:rPr>
        <w:t xml:space="preserve"> — 2 anchors in §10 and §11.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b/>
          <w:color w:val="1A4FBF"/>
          <w:sz w:val="22"/>
        </w:rPr>
        <w:t>5 editorial flags to confirm / verify before drafting:</w:t>
      </w:r>
    </w:p>
    <w:p>
      <w:pPr>
        <w:pStyle w:val="ListNumber"/>
      </w:pPr>
      <w:r>
        <w:rPr>
          <w:b/>
          <w:color w:val="1A4FBF"/>
          <w:sz w:val="22"/>
        </w:rPr>
        <w:t>Validate keyword volumes</w:t>
      </w:r>
      <w:r>
        <w:rPr>
          <w:color w:val="1A4FBF"/>
          <w:sz w:val="22"/>
        </w:rPr>
        <w:t xml:space="preserve"> in Ahrefs/DataForSEO before approving primary head term </w:t>
      </w:r>
      <w:r>
        <w:rPr>
          <w:i/>
          <w:color w:val="1A4FBF"/>
          <w:sz w:val="22"/>
        </w:rPr>
        <w:t>(GetCito already flagged this in the brief)</w:t>
      </w:r>
      <w:r>
        <w:rPr>
          <w:color w:val="1A4FBF"/>
          <w:sz w:val="22"/>
        </w:rPr>
        <w:t>.</w:t>
      </w:r>
    </w:p>
    <w:p>
      <w:pPr>
        <w:pStyle w:val="ListNumber"/>
      </w:pPr>
      <w:r>
        <w:rPr>
          <w:b/>
          <w:color w:val="1A4FBF"/>
          <w:sz w:val="22"/>
        </w:rPr>
        <w:t>Verify the 2025 Vegas -22.4% Airbnb stat</w:t>
      </w:r>
      <w:r>
        <w:rPr>
          <w:color w:val="1A4FBF"/>
          <w:sz w:val="22"/>
        </w:rPr>
        <w:t xml:space="preserve"> against AirDNA / AirROI or drop it.</w:t>
      </w:r>
    </w:p>
    <w:p>
      <w:pPr>
        <w:pStyle w:val="ListNumber"/>
      </w:pPr>
      <w:r>
        <w:rPr>
          <w:b/>
          <w:color w:val="1A4FBF"/>
          <w:sz w:val="22"/>
        </w:rPr>
        <w:t>Confirm the Huang SSRN paper</w:t>
      </w:r>
      <w:r>
        <w:rPr>
          <w:color w:val="1A4FBF"/>
          <w:sz w:val="22"/>
        </w:rPr>
        <w:t xml:space="preserve"> is peer-reviewed (or downgrade the prose framing).</w:t>
      </w:r>
    </w:p>
    <w:p>
      <w:pPr>
        <w:pStyle w:val="ListNumber"/>
      </w:pPr>
      <w:r>
        <w:rPr>
          <w:b/>
          <w:color w:val="1A4FBF"/>
          <w:sz w:val="22"/>
        </w:rPr>
        <w:t>Confirm word-count target</w:t>
      </w:r>
      <w:r>
        <w:rPr>
          <w:color w:val="1A4FBF"/>
          <w:sz w:val="22"/>
        </w:rPr>
        <w:t xml:space="preserve"> — 3,500 or 3,850?</w:t>
      </w:r>
    </w:p>
    <w:p>
      <w:pPr>
        <w:pStyle w:val="ListNumber"/>
      </w:pPr>
      <w:r>
        <w:rPr>
          <w:b/>
          <w:color w:val="1A4FBF"/>
          <w:sz w:val="22"/>
        </w:rPr>
        <w:t>Confirm no RevFactor pricing slips into §8 or §11</w:t>
      </w:r>
      <w:r>
        <w:rPr>
          <w:color w:val="1A4FBF"/>
          <w:sz w:val="22"/>
        </w:rPr>
        <w:t xml:space="preserve"> — if any fee mentioned, must be $350 / $150 per the 2026-06-09 model.</w:t>
      </w:r>
    </w:p>
    <w:p/>
    <w:p>
      <w:pPr>
        <w:pBdr>
          <w:bottom w:val="single" w:sz="6" w:space="1" w:color="999999"/>
        </w:pBdr>
      </w:pPr>
      <w:r>
        <w:rPr>
          <w:b/>
          <w:color w:val="222222"/>
          <w:sz w:val="30"/>
        </w:rPr>
        <w:t>One question for you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b/>
          <w:color w:val="0A2E80"/>
          <w:sz w:val="18"/>
        </w:rPr>
        <w:t>NAMING THE FRAMEWORKS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color w:val="1A4FBF"/>
          <w:sz w:val="22"/>
        </w:rPr>
        <w:t xml:space="preserve">The brief calls them </w:t>
      </w:r>
      <w:r>
        <w:rPr>
          <w:b/>
          <w:color w:val="1A4FBF"/>
          <w:sz w:val="22"/>
        </w:rPr>
        <w:t>"The Three Archetype Framework"</w:t>
      </w:r>
      <w:r>
        <w:rPr>
          <w:color w:val="1A4FBF"/>
          <w:sz w:val="22"/>
        </w:rPr>
        <w:t xml:space="preserve"> (§4) and </w:t>
      </w:r>
      <w:r>
        <w:rPr>
          <w:b/>
          <w:color w:val="1A4FBF"/>
          <w:sz w:val="22"/>
        </w:rPr>
        <w:t>"The RevFactor Event-Pricing Framework"</w:t>
      </w:r>
      <w:r>
        <w:rPr>
          <w:color w:val="1A4FBF"/>
          <w:sz w:val="22"/>
        </w:rPr>
        <w:t xml:space="preserve"> (§8). Both are good. Worth deciding now whether you want either name to become a brand-attributable concept like Blog 4's "Three Models of STR Revenue Management" — i.e., one that we reference verbatim from other cluster posts going forward. If yes, lock the exact framework name in the brief before drafting so the writer doesn't drift to a near-paraphrase. If no, fine as-is. Recommend locking — these are both citation-worthy framings.</w:t>
      </w:r>
    </w:p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