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25" w:rsidRDefault="00C43625" w:rsidP="00C43625">
      <w:pPr>
        <w:pStyle w:val="Default"/>
      </w:pPr>
    </w:p>
    <w:p w:rsidR="00C43625" w:rsidRDefault="00C43625" w:rsidP="00C43625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Análisis del tráfico que produce un protocolo orientado a la conexión. </w:t>
      </w:r>
    </w:p>
    <w:p w:rsidR="0070686F" w:rsidRDefault="0070686F" w:rsidP="0070686F"/>
    <w:p w:rsidR="009E5119" w:rsidRPr="009E5119" w:rsidRDefault="009E5119" w:rsidP="001D1BE4">
      <w:pPr>
        <w:pStyle w:val="Prrafodelista"/>
        <w:numPr>
          <w:ilvl w:val="0"/>
          <w:numId w:val="1"/>
        </w:numPr>
        <w:tabs>
          <w:tab w:val="left" w:pos="466"/>
        </w:tabs>
        <w:rPr>
          <w:vanish/>
        </w:rPr>
      </w:pPr>
    </w:p>
    <w:p w:rsidR="001E3F2E" w:rsidRDefault="001E3F2E" w:rsidP="001D1BE4">
      <w:pPr>
        <w:pStyle w:val="Prrafodelista"/>
        <w:numPr>
          <w:ilvl w:val="0"/>
          <w:numId w:val="1"/>
        </w:numPr>
        <w:tabs>
          <w:tab w:val="left" w:pos="466"/>
        </w:tabs>
      </w:pPr>
    </w:p>
    <w:p w:rsidR="00500C24" w:rsidRDefault="009E5119" w:rsidP="001E3F2E">
      <w:pPr>
        <w:pStyle w:val="Prrafodelista"/>
        <w:numPr>
          <w:ilvl w:val="0"/>
          <w:numId w:val="2"/>
        </w:numPr>
        <w:tabs>
          <w:tab w:val="left" w:pos="466"/>
        </w:tabs>
      </w:pPr>
      <w:r>
        <w:t xml:space="preserve">Para establecer la conexión, </w:t>
      </w:r>
      <w:proofErr w:type="spellStart"/>
      <w:r>
        <w:t>tcp</w:t>
      </w:r>
      <w:proofErr w:type="spellEnd"/>
      <w:r w:rsidR="00646E68">
        <w:t xml:space="preserve"> utiliza 3 segmentos</w:t>
      </w:r>
      <w:r w:rsidR="004D2763">
        <w:t>:</w:t>
      </w:r>
    </w:p>
    <w:p w:rsidR="009E5119" w:rsidRDefault="009E5119" w:rsidP="009E5119">
      <w:pPr>
        <w:tabs>
          <w:tab w:val="left" w:pos="466"/>
        </w:tabs>
        <w:ind w:left="708"/>
        <w:jc w:val="both"/>
      </w:pPr>
      <w:r>
        <w:rPr>
          <w:noProof/>
          <w:lang w:eastAsia="es-AR"/>
        </w:rPr>
        <w:drawing>
          <wp:inline distT="0" distB="0" distL="0" distR="0" wp14:anchorId="6027E129" wp14:editId="7A290556">
            <wp:extent cx="6057900" cy="3006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72" cy="3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19" w:rsidRDefault="009E5119" w:rsidP="009E5119">
      <w:pPr>
        <w:pStyle w:val="Prrafodelista"/>
        <w:tabs>
          <w:tab w:val="left" w:pos="466"/>
        </w:tabs>
        <w:jc w:val="center"/>
      </w:pPr>
      <w:r>
        <w:t>Gráfico:</w:t>
      </w:r>
    </w:p>
    <w:p w:rsidR="001C0B4C" w:rsidRDefault="009E5119" w:rsidP="009E5119">
      <w:pPr>
        <w:tabs>
          <w:tab w:val="left" w:pos="466"/>
        </w:tabs>
        <w:ind w:left="708"/>
        <w:jc w:val="center"/>
      </w:pPr>
      <w:r>
        <w:rPr>
          <w:noProof/>
          <w:lang w:eastAsia="es-AR"/>
        </w:rPr>
        <w:drawing>
          <wp:inline distT="0" distB="0" distL="0" distR="0">
            <wp:extent cx="3581400" cy="3200400"/>
            <wp:effectExtent l="0" t="0" r="0" b="0"/>
            <wp:docPr id="3" name="Imagen 3" descr="https://upload.wikimedia.org/wikipedia/commons/thumb/9/98/Tcp-handshake.svg/376px-Tcp-handshak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Tcp-handshake.svg/376px-Tcp-handshak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4C" w:rsidRDefault="001C0B4C" w:rsidP="004D2763">
      <w:pPr>
        <w:pStyle w:val="Prrafodelista"/>
        <w:tabs>
          <w:tab w:val="left" w:pos="466"/>
        </w:tabs>
      </w:pPr>
    </w:p>
    <w:p w:rsidR="004D2763" w:rsidRDefault="00482854" w:rsidP="004D2763">
      <w:pPr>
        <w:pStyle w:val="Prrafodelista"/>
        <w:tabs>
          <w:tab w:val="left" w:pos="466"/>
        </w:tabs>
      </w:pPr>
      <w:r>
        <w:t xml:space="preserve">Para </w:t>
      </w:r>
      <w:r w:rsidR="009E5119">
        <w:t>liberarla,</w:t>
      </w:r>
      <w:r>
        <w:t xml:space="preserve"> utiliza</w:t>
      </w:r>
      <w:r w:rsidR="009E5119">
        <w:t xml:space="preserve"> 4</w:t>
      </w:r>
      <w:r w:rsidR="004D2763">
        <w:t>:</w:t>
      </w:r>
    </w:p>
    <w:p w:rsidR="001E3F2E" w:rsidRDefault="009E5119" w:rsidP="004D2763">
      <w:pPr>
        <w:pStyle w:val="Prrafodelista"/>
        <w:tabs>
          <w:tab w:val="left" w:pos="466"/>
        </w:tabs>
      </w:pPr>
      <w:r>
        <w:rPr>
          <w:noProof/>
          <w:lang w:eastAsia="es-AR"/>
        </w:rPr>
        <w:drawing>
          <wp:inline distT="0" distB="0" distL="0" distR="0" wp14:anchorId="2EA8D50F" wp14:editId="3EA759EC">
            <wp:extent cx="5953125" cy="4214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127" cy="4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4F" w:rsidRDefault="00B5114F" w:rsidP="00B5114F">
      <w:pPr>
        <w:pStyle w:val="Prrafodelista"/>
        <w:ind w:left="1068"/>
      </w:pPr>
    </w:p>
    <w:p w:rsidR="00B5114F" w:rsidRDefault="009E5119" w:rsidP="009E5119">
      <w:pPr>
        <w:pStyle w:val="Prrafodelista"/>
        <w:tabs>
          <w:tab w:val="left" w:pos="466"/>
        </w:tabs>
        <w:jc w:val="center"/>
      </w:pPr>
      <w:r>
        <w:t>Gráfico:</w:t>
      </w:r>
    </w:p>
    <w:p w:rsidR="00B5114F" w:rsidRDefault="009E5119" w:rsidP="00314718">
      <w:pPr>
        <w:pStyle w:val="Prrafodelista"/>
        <w:ind w:left="1068"/>
        <w:jc w:val="center"/>
      </w:pPr>
      <w:r>
        <w:rPr>
          <w:noProof/>
          <w:lang w:eastAsia="es-AR"/>
        </w:rPr>
        <w:drawing>
          <wp:inline distT="0" distB="0" distL="0" distR="0">
            <wp:extent cx="4762500" cy="2295525"/>
            <wp:effectExtent l="0" t="0" r="0" b="9525"/>
            <wp:docPr id="10" name="Imagen 10" descr="Image result for tcp term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cp termi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4F" w:rsidRDefault="00B5114F" w:rsidP="00B5114F">
      <w:pPr>
        <w:pStyle w:val="Prrafodelista"/>
        <w:ind w:left="1068"/>
      </w:pPr>
    </w:p>
    <w:p w:rsidR="00314718" w:rsidRDefault="00314718">
      <w:r>
        <w:br w:type="page"/>
      </w:r>
    </w:p>
    <w:p w:rsidR="00B5114F" w:rsidRDefault="00B5114F" w:rsidP="00F62994">
      <w:r w:rsidRPr="00B5114F">
        <w:lastRenderedPageBreak/>
        <w:t>b) La combinación de sockets, números de secuencia y tamaños de ventana, se llama conexión lógica. Cada conexión se identifica unívocamente por la pareja de sockets usados por los procesos emisor y receptor.</w:t>
      </w:r>
      <w:r w:rsidR="00314718">
        <w:t xml:space="preserve"> </w:t>
      </w:r>
      <w:r>
        <w:t>Un socket queda definido por un par de direcciones IP local y remota, un protocolo de transporte y un par de números de puerto local y remoto.</w:t>
      </w:r>
    </w:p>
    <w:p w:rsidR="00B5114F" w:rsidRDefault="00B5114F" w:rsidP="00F62994">
      <w:pPr>
        <w:jc w:val="both"/>
      </w:pPr>
      <w:r>
        <w:t>Socket = (IP local, IP remota, protocolo transporte, Puerto local y Puerto remoto).</w:t>
      </w:r>
    </w:p>
    <w:p w:rsidR="00314718" w:rsidRDefault="00314718" w:rsidP="00B5114F">
      <w:pPr>
        <w:ind w:firstLine="708"/>
        <w:jc w:val="both"/>
      </w:pPr>
      <w:r>
        <w:rPr>
          <w:noProof/>
          <w:lang w:eastAsia="es-AR"/>
        </w:rPr>
        <w:drawing>
          <wp:inline distT="0" distB="0" distL="0" distR="0" wp14:anchorId="0DAAB641" wp14:editId="55F6A4EC">
            <wp:extent cx="5972175" cy="320893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500" cy="3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63" w:rsidRDefault="00AE4D26" w:rsidP="00F62994">
      <w:r>
        <w:t>c</w:t>
      </w:r>
      <w:r w:rsidR="001E3F2E">
        <w:t xml:space="preserve">) </w:t>
      </w:r>
      <w:r w:rsidR="00CE286F">
        <w:t xml:space="preserve">Se usan </w:t>
      </w:r>
      <w:r w:rsidR="00201540">
        <w:t>243</w:t>
      </w:r>
      <w:r w:rsidR="00B30BBB">
        <w:t xml:space="preserve"> tramas</w:t>
      </w:r>
      <w:r w:rsidR="00201540">
        <w:t>.</w:t>
      </w:r>
      <w:r w:rsidR="00B30BBB">
        <w:t xml:space="preserve"> </w:t>
      </w:r>
      <w:r w:rsidR="00201540">
        <w:t xml:space="preserve">Algunas </w:t>
      </w:r>
      <w:r>
        <w:t>son:</w:t>
      </w:r>
    </w:p>
    <w:p w:rsidR="005274F7" w:rsidRDefault="00201540" w:rsidP="00F62994">
      <w:pPr>
        <w:ind w:firstLine="708"/>
      </w:pPr>
      <w:r>
        <w:rPr>
          <w:noProof/>
          <w:lang w:eastAsia="es-AR"/>
        </w:rPr>
        <w:drawing>
          <wp:inline distT="0" distB="0" distL="0" distR="0" wp14:anchorId="2EB25445" wp14:editId="0E88C4E9">
            <wp:extent cx="5972175" cy="12993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640" cy="13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94" w:rsidRPr="00F62994" w:rsidRDefault="00F62994" w:rsidP="00F62994">
      <w:r>
        <w:t>e) Respondido en 2) a)</w:t>
      </w:r>
    </w:p>
    <w:p w:rsidR="00C43625" w:rsidRPr="00C43625" w:rsidRDefault="00C43625" w:rsidP="00C43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72218" w:rsidRDefault="00C43625" w:rsidP="0055678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43625">
        <w:rPr>
          <w:rFonts w:ascii="Arial" w:hAnsi="Arial" w:cs="Arial"/>
          <w:b/>
          <w:bCs/>
          <w:color w:val="000000"/>
        </w:rPr>
        <w:t xml:space="preserve">b. Análisis del tráfico que produce un protocolo no orientado a la conexión. </w:t>
      </w:r>
    </w:p>
    <w:p w:rsidR="0055678A" w:rsidRPr="0055678A" w:rsidRDefault="0055678A" w:rsidP="0055678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00C24" w:rsidRPr="00872218" w:rsidRDefault="00872218" w:rsidP="0055678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grafico de lo que ocurre es lo siguiente:</w:t>
      </w:r>
    </w:p>
    <w:p w:rsidR="00872218" w:rsidRPr="00872218" w:rsidRDefault="00872218" w:rsidP="0055678A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69CEEEA0" wp14:editId="42A57127">
            <wp:extent cx="1631950" cy="2121535"/>
            <wp:effectExtent l="0" t="0" r="0" b="0"/>
            <wp:docPr id="8" name="Imagen 8" descr="https://upload.wikimedia.org/wikipedia/commons/thumb/2/28/DHCP_session_en.svg/220px-DHCP_session_en.sv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8/DHCP_session_en.svg/220px-DHCP_session_en.sv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18" w:rsidRPr="00A427D4" w:rsidRDefault="00A427D4" w:rsidP="00A427D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DHCP Discovery es una solicitud DHCP realizada por un cliente de este protocolo para que el servidor DHCP de dicha red de computadoras le asigne una dirección IP y otros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Parámetros DHCP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Parámetros DHCP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como la máscara de red o el nombre DNS.</w:t>
      </w:r>
    </w:p>
    <w:p w:rsidR="00A427D4" w:rsidRPr="00A427D4" w:rsidRDefault="00A427D4" w:rsidP="00A427D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DHCP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 el paquete de respuesta del Servidor DHCP a un cliente DHCP ante su petición de la asignación de los Parámetros DHCP. Para ello involucra su dirección MAC (Media Access Control).</w:t>
      </w:r>
    </w:p>
    <w:p w:rsidR="00A427D4" w:rsidRPr="00A427D4" w:rsidRDefault="00A427D4" w:rsidP="00A427D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 cliente selecciona la configuración de los paquetes recibidos de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DHCP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Una vez más, el cliente solicita una dirección IP específica que indicó el servidor</w:t>
      </w:r>
    </w:p>
    <w:p w:rsidR="00A427D4" w:rsidRDefault="00A427D4" w:rsidP="00A427D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 servidor reconoce la solicitud y la envía acuse de recibo al cliente del cliente, se inicia la fase final del proceso de configuración. Esta fase implica el reconocimiento con el envío de un paquete al cliente.</w:t>
      </w:r>
    </w:p>
    <w:p w:rsidR="00A427D4" w:rsidRDefault="00A427D4" w:rsidP="00A427D4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037A5" w:rsidRPr="009037A5" w:rsidRDefault="009037A5" w:rsidP="00A427D4">
      <w:pPr>
        <w:pStyle w:val="Prrafodelista"/>
        <w:numPr>
          <w:ilvl w:val="0"/>
          <w:numId w:val="10"/>
        </w:numPr>
      </w:pPr>
      <w:r>
        <w:t xml:space="preserve">Conexión: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 introduce retardos para establecer una conexión, no mantiene estado de conexión alguno y no realiza seguimiento de estos parámetros. Así, un servidor dedicado a una aplicación particular puede soportar más clientes activos cuando la aplicación corre sobre UDP en lugar de sobre TCP.</w:t>
      </w:r>
    </w:p>
    <w:p w:rsidR="005626A9" w:rsidRPr="005626A9" w:rsidRDefault="00A427D4" w:rsidP="009037A5">
      <w:pPr>
        <w:pStyle w:val="Prrafodelista"/>
        <w:ind w:left="1440"/>
      </w:pPr>
      <w:r>
        <w:br/>
        <w:t xml:space="preserve">Fiabilidad y control de errores: </w:t>
      </w:r>
      <w:r w:rsidR="005626A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Suma de verificación" w:history="1">
        <w:r w:rsidR="005626A9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suma de verificación</w:t>
        </w:r>
      </w:hyperlink>
      <w:r w:rsidR="005626A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5626A9">
        <w:rPr>
          <w:rFonts w:ascii="Arial" w:hAnsi="Arial" w:cs="Arial"/>
          <w:color w:val="222222"/>
          <w:sz w:val="21"/>
          <w:szCs w:val="21"/>
          <w:shd w:val="clear" w:color="auto" w:fill="FFFFFF"/>
        </w:rPr>
        <w:t>de la cabecera (</w:t>
      </w:r>
      <w:proofErr w:type="spellStart"/>
      <w:r w:rsidR="005626A9">
        <w:t>checksum</w:t>
      </w:r>
      <w:proofErr w:type="spellEnd"/>
      <w:r w:rsidR="005626A9">
        <w:t xml:space="preserve"> </w:t>
      </w:r>
      <w:r>
        <w:t>16 bit</w:t>
      </w:r>
      <w:r w:rsidR="005626A9">
        <w:t xml:space="preserve">s). </w:t>
      </w:r>
      <w:r w:rsidR="005626A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5626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 </w:t>
      </w:r>
      <w:proofErr w:type="spellStart"/>
      <w:r w:rsidR="005626A9">
        <w:rPr>
          <w:rFonts w:ascii="Arial" w:hAnsi="Arial" w:cs="Arial"/>
          <w:color w:val="222222"/>
          <w:sz w:val="21"/>
          <w:szCs w:val="21"/>
          <w:shd w:val="clear" w:color="auto" w:fill="FFFFFF"/>
        </w:rPr>
        <w:t>checksum</w:t>
      </w:r>
      <w:proofErr w:type="spellEnd"/>
      <w:r w:rsidR="005626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también es opcional, aunque generalmente se utiliza en la práctica.</w:t>
      </w:r>
    </w:p>
    <w:p w:rsidR="00A427D4" w:rsidRDefault="00A427D4" w:rsidP="005626A9">
      <w:pPr>
        <w:pStyle w:val="Prrafodelista"/>
        <w:ind w:left="1440"/>
      </w:pPr>
      <w:r>
        <w:br/>
        <w:t xml:space="preserve">Control de flujo: no tiene, </w:t>
      </w:r>
      <w:r w:rsidR="007108D4">
        <w:t>t</w:t>
      </w:r>
      <w:r>
        <w:t>ampoco ordena paquetes.</w:t>
      </w:r>
      <w:r>
        <w:br/>
      </w:r>
      <w:r>
        <w:br/>
      </w:r>
      <w:r>
        <w:lastRenderedPageBreak/>
        <w:t>Multiplexación:</w:t>
      </w:r>
      <w:r w:rsidR="009037A5">
        <w:t xml:space="preserve"> posee</w:t>
      </w:r>
      <w:r>
        <w:t xml:space="preserve"> </w:t>
      </w:r>
      <w:r w:rsidR="009037A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multiplexado de aplicación, </w:t>
      </w:r>
      <w:r>
        <w:t>tiene puerto de origen y destino (el origen es opcional)</w:t>
      </w:r>
    </w:p>
    <w:p w:rsidR="009037A5" w:rsidRDefault="009037A5" w:rsidP="005626A9">
      <w:pPr>
        <w:pStyle w:val="Prrafodelista"/>
        <w:ind w:left="1440"/>
      </w:pPr>
    </w:p>
    <w:p w:rsidR="00A427D4" w:rsidRPr="009037A5" w:rsidRDefault="009037A5" w:rsidP="0055678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u w:val="single"/>
        </w:rPr>
      </w:pPr>
      <w:r w:rsidRPr="009037A5">
        <w:rPr>
          <w:rFonts w:ascii="Arial" w:hAnsi="Arial" w:cs="Arial"/>
          <w:color w:val="000000"/>
          <w:u w:val="single"/>
        </w:rPr>
        <w:t>Encapsulamiento TCP:</w:t>
      </w:r>
    </w:p>
    <w:p w:rsidR="009037A5" w:rsidRPr="00872218" w:rsidRDefault="009037A5" w:rsidP="009037A5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0040" cy="1761817"/>
            <wp:effectExtent l="0" t="0" r="0" b="0"/>
            <wp:docPr id="11" name="Imagen 11" descr="CabeceraTCP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beceraTCP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F7" w:rsidRPr="009037A5" w:rsidRDefault="005274F7" w:rsidP="002047CA">
      <w:pPr>
        <w:ind w:firstLine="708"/>
        <w:rPr>
          <w:rFonts w:ascii="Arial" w:hAnsi="Arial" w:cs="Arial"/>
          <w:color w:val="000000"/>
          <w:sz w:val="27"/>
          <w:szCs w:val="27"/>
          <w:u w:val="single"/>
          <w:shd w:val="clear" w:color="auto" w:fill="EEEEFF"/>
        </w:rPr>
      </w:pPr>
    </w:p>
    <w:p w:rsidR="009037A5" w:rsidRPr="009037A5" w:rsidRDefault="009037A5" w:rsidP="009037A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  <w:sz w:val="21"/>
          <w:szCs w:val="21"/>
          <w:u w:val="single"/>
        </w:rPr>
      </w:pPr>
      <w:r w:rsidRPr="009037A5">
        <w:rPr>
          <w:rStyle w:val="Textoennegrita"/>
          <w:rFonts w:ascii="Georgia" w:hAnsi="Georgia"/>
          <w:color w:val="333333"/>
          <w:sz w:val="21"/>
          <w:szCs w:val="21"/>
          <w:u w:val="single"/>
          <w:bdr w:val="none" w:sz="0" w:space="0" w:color="auto" w:frame="1"/>
        </w:rPr>
        <w:t>Encapsulado de UDP:</w:t>
      </w:r>
    </w:p>
    <w:p w:rsidR="009037A5" w:rsidRDefault="009037A5" w:rsidP="009037A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032250" cy="2333157"/>
            <wp:effectExtent l="0" t="0" r="6350" b="0"/>
            <wp:docPr id="12" name="Imagen 12" descr="Resultado de imagen para encapsulado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ncapsulado ud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3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A5" w:rsidRDefault="009037A5" w:rsidP="002047CA">
      <w:pPr>
        <w:ind w:firstLine="708"/>
        <w:rPr>
          <w:rFonts w:ascii="Arial" w:hAnsi="Arial" w:cs="Arial"/>
          <w:color w:val="000000"/>
          <w:sz w:val="27"/>
          <w:szCs w:val="27"/>
          <w:shd w:val="clear" w:color="auto" w:fill="EEEEFF"/>
        </w:rPr>
      </w:pPr>
    </w:p>
    <w:p w:rsidR="00386C7E" w:rsidRPr="00386C7E" w:rsidRDefault="00386C7E" w:rsidP="00386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6C7E" w:rsidRDefault="00386C7E" w:rsidP="007A0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A0FC6" w:rsidRDefault="007A0FC6" w:rsidP="007A0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A0FC6" w:rsidRDefault="007A0FC6" w:rsidP="007A0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y D)</w:t>
      </w:r>
    </w:p>
    <w:p w:rsidR="007A0FC6" w:rsidRPr="00386C7E" w:rsidRDefault="007A0FC6" w:rsidP="007A0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625"/>
        <w:gridCol w:w="2662"/>
        <w:gridCol w:w="2725"/>
      </w:tblGrid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 xml:space="preserve">Puerto </w:t>
            </w:r>
          </w:p>
        </w:tc>
        <w:tc>
          <w:tcPr>
            <w:tcW w:w="2662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Nombre</w:t>
            </w:r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proofErr w:type="spellStart"/>
            <w:r w:rsidRPr="0055678A">
              <w:rPr>
                <w:rFonts w:ascii="Helvetica" w:hAnsi="Helvetica"/>
                <w:color w:val="000000"/>
              </w:rPr>
              <w:t>Descripcion</w:t>
            </w:r>
            <w:proofErr w:type="spellEnd"/>
            <w:r w:rsidRPr="0055678A">
              <w:rPr>
                <w:rFonts w:ascii="Helvetica" w:hAnsi="Helvetica"/>
                <w:color w:val="000000"/>
              </w:rPr>
              <w:t xml:space="preserve"> </w:t>
            </w:r>
          </w:p>
        </w:tc>
      </w:tr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67</w:t>
            </w:r>
          </w:p>
        </w:tc>
        <w:tc>
          <w:tcPr>
            <w:tcW w:w="2662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proofErr w:type="spellStart"/>
            <w:r w:rsidRPr="0055678A">
              <w:rPr>
                <w:rFonts w:ascii="Helvetica" w:hAnsi="Helvetica"/>
                <w:color w:val="000000"/>
              </w:rPr>
              <w:t>bootps</w:t>
            </w:r>
            <w:proofErr w:type="spellEnd"/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 xml:space="preserve">Servicios del Protocolo </w:t>
            </w:r>
            <w:proofErr w:type="spellStart"/>
            <w:r w:rsidRPr="0055678A">
              <w:rPr>
                <w:rFonts w:ascii="Helvetica" w:hAnsi="Helvetica"/>
                <w:color w:val="000000"/>
              </w:rPr>
              <w:t>Bootstrap</w:t>
            </w:r>
            <w:proofErr w:type="spellEnd"/>
            <w:r w:rsidRPr="0055678A">
              <w:rPr>
                <w:rFonts w:ascii="Helvetica" w:hAnsi="Helvetica"/>
                <w:color w:val="000000"/>
              </w:rPr>
              <w:t xml:space="preserve"> o de inicio (BOOTP); también usado por los servicios del protocolo de configuración dinámica de host (DHCP).</w:t>
            </w:r>
          </w:p>
        </w:tc>
      </w:tr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68</w:t>
            </w:r>
          </w:p>
        </w:tc>
        <w:tc>
          <w:tcPr>
            <w:tcW w:w="2662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proofErr w:type="spellStart"/>
            <w:r w:rsidRPr="0055678A">
              <w:rPr>
                <w:rFonts w:ascii="Helvetica" w:hAnsi="Helvetica"/>
                <w:color w:val="000000"/>
              </w:rPr>
              <w:t>bootpc</w:t>
            </w:r>
            <w:proofErr w:type="spellEnd"/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 xml:space="preserve">Cliente </w:t>
            </w:r>
            <w:proofErr w:type="spellStart"/>
            <w:r w:rsidRPr="0055678A">
              <w:rPr>
                <w:rFonts w:ascii="Helvetica" w:hAnsi="Helvetica"/>
                <w:color w:val="000000"/>
              </w:rPr>
              <w:t>bootstrap</w:t>
            </w:r>
            <w:proofErr w:type="spellEnd"/>
            <w:r w:rsidRPr="0055678A">
              <w:rPr>
                <w:rFonts w:ascii="Helvetica" w:hAnsi="Helvetica"/>
                <w:color w:val="000000"/>
              </w:rPr>
              <w:t xml:space="preserve"> (BOOTP); también usado por el protocolo de configuración dinámica de host (DHCP)</w:t>
            </w:r>
          </w:p>
        </w:tc>
      </w:tr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546</w:t>
            </w:r>
          </w:p>
        </w:tc>
        <w:tc>
          <w:tcPr>
            <w:tcW w:w="2662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dhcpv6-client</w:t>
            </w:r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Cliente DHCP, Protocolo de configuración dinámica de host, versión 6</w:t>
            </w:r>
          </w:p>
        </w:tc>
      </w:tr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547</w:t>
            </w:r>
          </w:p>
        </w:tc>
        <w:tc>
          <w:tcPr>
            <w:tcW w:w="2662" w:type="dxa"/>
          </w:tcPr>
          <w:p w:rsidR="00386C7E" w:rsidRPr="0055678A" w:rsidRDefault="00386C7E" w:rsidP="00386C7E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>dhcpv6-server</w:t>
            </w:r>
          </w:p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lastRenderedPageBreak/>
              <w:t xml:space="preserve">Servicio DHCP, protocolo de </w:t>
            </w:r>
            <w:r w:rsidRPr="0055678A">
              <w:rPr>
                <w:rFonts w:ascii="Helvetica" w:hAnsi="Helvetica"/>
                <w:color w:val="000000"/>
              </w:rPr>
              <w:lastRenderedPageBreak/>
              <w:t>configuración dinámica de host, versión 6</w:t>
            </w:r>
          </w:p>
        </w:tc>
      </w:tr>
      <w:tr w:rsidR="00386C7E" w:rsidRPr="0055678A" w:rsidTr="0055678A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lastRenderedPageBreak/>
              <w:t>80</w:t>
            </w:r>
          </w:p>
        </w:tc>
        <w:tc>
          <w:tcPr>
            <w:tcW w:w="2662" w:type="dxa"/>
          </w:tcPr>
          <w:p w:rsidR="00386C7E" w:rsidRPr="0055678A" w:rsidRDefault="00386C7E" w:rsidP="00386C7E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>http</w:t>
            </w:r>
          </w:p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725" w:type="dxa"/>
            <w:shd w:val="clear" w:color="auto" w:fill="auto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Protocolo de transferenc</w:t>
            </w:r>
            <w:bookmarkStart w:id="0" w:name="_GoBack"/>
            <w:bookmarkEnd w:id="0"/>
            <w:r w:rsidRPr="0055678A">
              <w:rPr>
                <w:rFonts w:ascii="Helvetica" w:hAnsi="Helvetica"/>
                <w:color w:val="000000"/>
              </w:rPr>
              <w:t xml:space="preserve">ia de hipertexto (HTTP) para los servicios del </w:t>
            </w:r>
            <w:proofErr w:type="spellStart"/>
            <w:r w:rsidRPr="0055678A">
              <w:rPr>
                <w:rFonts w:ascii="Helvetica" w:hAnsi="Helvetica"/>
                <w:color w:val="000000"/>
              </w:rPr>
              <w:t>World</w:t>
            </w:r>
            <w:proofErr w:type="spellEnd"/>
            <w:r w:rsidRPr="0055678A">
              <w:rPr>
                <w:rFonts w:ascii="Helvetica" w:hAnsi="Helvetica"/>
                <w:color w:val="000000"/>
              </w:rPr>
              <w:t xml:space="preserve"> Wide Web (WWW)</w:t>
            </w:r>
          </w:p>
        </w:tc>
      </w:tr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488</w:t>
            </w:r>
          </w:p>
        </w:tc>
        <w:tc>
          <w:tcPr>
            <w:tcW w:w="2662" w:type="dxa"/>
          </w:tcPr>
          <w:p w:rsidR="00386C7E" w:rsidRPr="0055678A" w:rsidRDefault="00386C7E" w:rsidP="00386C7E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</w:r>
            <w:proofErr w:type="spellStart"/>
            <w:r w:rsidRPr="0055678A">
              <w:rPr>
                <w:rFonts w:ascii="Helvetica" w:hAnsi="Helvetica"/>
                <w:color w:val="000000"/>
              </w:rPr>
              <w:t>gss</w:t>
            </w:r>
            <w:proofErr w:type="spellEnd"/>
            <w:r w:rsidRPr="0055678A">
              <w:rPr>
                <w:rFonts w:ascii="Helvetica" w:hAnsi="Helvetica"/>
                <w:color w:val="000000"/>
              </w:rPr>
              <w:t>-http</w:t>
            </w:r>
          </w:p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Servicios de seguridad genérica (GSS) para HTTP</w:t>
            </w:r>
          </w:p>
        </w:tc>
      </w:tr>
      <w:tr w:rsidR="00386C7E" w:rsidRPr="0055678A" w:rsidTr="00503216">
        <w:tc>
          <w:tcPr>
            <w:tcW w:w="26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443</w:t>
            </w:r>
          </w:p>
          <w:p w:rsidR="00386C7E" w:rsidRPr="0055678A" w:rsidRDefault="00386C7E" w:rsidP="00386C7E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</w:r>
          </w:p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662" w:type="dxa"/>
          </w:tcPr>
          <w:p w:rsidR="00386C7E" w:rsidRPr="0055678A" w:rsidRDefault="00386C7E" w:rsidP="00386C7E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>https</w:t>
            </w:r>
          </w:p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725" w:type="dxa"/>
          </w:tcPr>
          <w:p w:rsidR="00386C7E" w:rsidRPr="0055678A" w:rsidRDefault="00386C7E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Protocolo de transferencia de hipertexto seguro (HTTP)</w:t>
            </w:r>
          </w:p>
        </w:tc>
      </w:tr>
      <w:tr w:rsidR="007A0FC6" w:rsidRPr="0055678A" w:rsidTr="00503216">
        <w:tc>
          <w:tcPr>
            <w:tcW w:w="2625" w:type="dxa"/>
          </w:tcPr>
          <w:p w:rsidR="007A0FC6" w:rsidRPr="0055678A" w:rsidRDefault="007A0FC6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20</w:t>
            </w:r>
          </w:p>
        </w:tc>
        <w:tc>
          <w:tcPr>
            <w:tcW w:w="2662" w:type="dxa"/>
          </w:tcPr>
          <w:p w:rsidR="007A0FC6" w:rsidRPr="0055678A" w:rsidRDefault="007A0FC6" w:rsidP="00386C7E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ftp-data</w:t>
            </w:r>
          </w:p>
        </w:tc>
        <w:tc>
          <w:tcPr>
            <w:tcW w:w="2725" w:type="dxa"/>
          </w:tcPr>
          <w:p w:rsidR="007A0FC6" w:rsidRPr="0055678A" w:rsidRDefault="007A0FC6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Puerto de datos FTP</w:t>
            </w:r>
          </w:p>
        </w:tc>
      </w:tr>
      <w:tr w:rsidR="007A0FC6" w:rsidRPr="0055678A" w:rsidTr="00503216">
        <w:tc>
          <w:tcPr>
            <w:tcW w:w="2625" w:type="dxa"/>
          </w:tcPr>
          <w:p w:rsidR="007A0FC6" w:rsidRPr="0055678A" w:rsidRDefault="007A0FC6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21</w:t>
            </w:r>
          </w:p>
        </w:tc>
        <w:tc>
          <w:tcPr>
            <w:tcW w:w="2662" w:type="dxa"/>
          </w:tcPr>
          <w:p w:rsidR="007A0FC6" w:rsidRPr="0055678A" w:rsidRDefault="007A0FC6" w:rsidP="007A0FC6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>ftp</w:t>
            </w:r>
          </w:p>
          <w:p w:rsidR="007A0FC6" w:rsidRPr="0055678A" w:rsidRDefault="007A0FC6" w:rsidP="00386C7E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725" w:type="dxa"/>
          </w:tcPr>
          <w:p w:rsidR="007A0FC6" w:rsidRPr="0055678A" w:rsidRDefault="007A0FC6" w:rsidP="007A0FC6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>Puerto del Protocolo de transferencia de archivos (FTP); algunas veces utilizado por el Protocolo de servicio de archivos (FSP).</w:t>
            </w:r>
          </w:p>
          <w:p w:rsidR="007A0FC6" w:rsidRPr="0055678A" w:rsidRDefault="007A0FC6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</w:tr>
      <w:tr w:rsidR="007A0FC6" w:rsidRPr="0055678A" w:rsidTr="00503216">
        <w:tc>
          <w:tcPr>
            <w:tcW w:w="2625" w:type="dxa"/>
          </w:tcPr>
          <w:p w:rsidR="007A0FC6" w:rsidRPr="0055678A" w:rsidRDefault="007A0FC6" w:rsidP="0055678A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t>245</w:t>
            </w:r>
          </w:p>
        </w:tc>
        <w:tc>
          <w:tcPr>
            <w:tcW w:w="2662" w:type="dxa"/>
          </w:tcPr>
          <w:p w:rsidR="007A0FC6" w:rsidRPr="0055678A" w:rsidRDefault="007A0FC6" w:rsidP="007A0FC6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>link</w:t>
            </w:r>
          </w:p>
          <w:p w:rsidR="007A0FC6" w:rsidRPr="0055678A" w:rsidRDefault="007A0FC6" w:rsidP="00386C7E">
            <w:pPr>
              <w:ind w:left="150"/>
              <w:rPr>
                <w:rFonts w:ascii="Helvetica" w:hAnsi="Helvetica"/>
                <w:color w:val="000000"/>
              </w:rPr>
            </w:pPr>
          </w:p>
        </w:tc>
        <w:tc>
          <w:tcPr>
            <w:tcW w:w="2725" w:type="dxa"/>
          </w:tcPr>
          <w:p w:rsidR="007A0FC6" w:rsidRPr="0055678A" w:rsidRDefault="007A0FC6" w:rsidP="007A0FC6">
            <w:pPr>
              <w:ind w:left="150"/>
              <w:rPr>
                <w:rFonts w:ascii="Helvetica" w:hAnsi="Helvetica"/>
                <w:color w:val="000000"/>
              </w:rPr>
            </w:pPr>
            <w:r w:rsidRPr="0055678A">
              <w:rPr>
                <w:rFonts w:ascii="Helvetica" w:hAnsi="Helvetica"/>
                <w:color w:val="000000"/>
              </w:rPr>
              <w:br/>
              <w:t xml:space="preserve">Servicio LINK / 3-DNS </w:t>
            </w:r>
            <w:proofErr w:type="spellStart"/>
            <w:r w:rsidRPr="0055678A">
              <w:rPr>
                <w:rFonts w:ascii="Helvetica" w:hAnsi="Helvetica"/>
                <w:color w:val="000000"/>
              </w:rPr>
              <w:t>iQuery</w:t>
            </w:r>
            <w:proofErr w:type="spellEnd"/>
          </w:p>
          <w:p w:rsidR="007A0FC6" w:rsidRPr="0055678A" w:rsidRDefault="007A0FC6" w:rsidP="0055678A">
            <w:pPr>
              <w:ind w:left="150"/>
              <w:rPr>
                <w:rFonts w:ascii="Helvetica" w:hAnsi="Helvetica"/>
                <w:color w:val="000000"/>
              </w:rPr>
            </w:pPr>
          </w:p>
        </w:tc>
      </w:tr>
    </w:tbl>
    <w:p w:rsidR="00B5114F" w:rsidRPr="0055678A" w:rsidRDefault="00B5114F" w:rsidP="0055678A">
      <w:pPr>
        <w:spacing w:after="0" w:line="240" w:lineRule="auto"/>
        <w:ind w:left="150"/>
        <w:rPr>
          <w:rFonts w:ascii="Helvetica" w:hAnsi="Helvetica"/>
          <w:color w:val="000000"/>
        </w:rPr>
      </w:pPr>
    </w:p>
    <w:sectPr w:rsidR="00B5114F" w:rsidRPr="0055678A" w:rsidSect="009E5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1F60D"/>
    <w:multiLevelType w:val="hybridMultilevel"/>
    <w:tmpl w:val="97CD248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229D9"/>
    <w:multiLevelType w:val="multilevel"/>
    <w:tmpl w:val="4AC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6189A"/>
    <w:multiLevelType w:val="hybridMultilevel"/>
    <w:tmpl w:val="6E88D222"/>
    <w:lvl w:ilvl="0" w:tplc="97203A3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222222"/>
        <w:sz w:val="19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B03EC4"/>
    <w:multiLevelType w:val="hybridMultilevel"/>
    <w:tmpl w:val="2DB6DFF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0BE43D1"/>
    <w:multiLevelType w:val="hybridMultilevel"/>
    <w:tmpl w:val="CECC251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165D92"/>
    <w:multiLevelType w:val="hybridMultilevel"/>
    <w:tmpl w:val="A4E0C9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A1FA0"/>
    <w:multiLevelType w:val="hybridMultilevel"/>
    <w:tmpl w:val="F6F48F86"/>
    <w:lvl w:ilvl="0" w:tplc="0AB0586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DDE08"/>
    <w:multiLevelType w:val="hybridMultilevel"/>
    <w:tmpl w:val="59078A9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9642D46"/>
    <w:multiLevelType w:val="hybridMultilevel"/>
    <w:tmpl w:val="E57664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06BCD"/>
    <w:multiLevelType w:val="hybridMultilevel"/>
    <w:tmpl w:val="1CDEC3B4"/>
    <w:lvl w:ilvl="0" w:tplc="527603C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22222"/>
        <w:sz w:val="21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9C5819"/>
    <w:multiLevelType w:val="multilevel"/>
    <w:tmpl w:val="106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82255"/>
    <w:multiLevelType w:val="hybridMultilevel"/>
    <w:tmpl w:val="DD78C4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525F7"/>
    <w:multiLevelType w:val="multilevel"/>
    <w:tmpl w:val="80A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B5705"/>
    <w:multiLevelType w:val="hybridMultilevel"/>
    <w:tmpl w:val="E39A462E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6F"/>
    <w:rsid w:val="001C0B4C"/>
    <w:rsid w:val="001D1BE4"/>
    <w:rsid w:val="001E3F2E"/>
    <w:rsid w:val="00201540"/>
    <w:rsid w:val="002047CA"/>
    <w:rsid w:val="00246E44"/>
    <w:rsid w:val="00314718"/>
    <w:rsid w:val="00386C7E"/>
    <w:rsid w:val="00482854"/>
    <w:rsid w:val="004D2763"/>
    <w:rsid w:val="00500C24"/>
    <w:rsid w:val="00503216"/>
    <w:rsid w:val="0051491D"/>
    <w:rsid w:val="005274F7"/>
    <w:rsid w:val="0055678A"/>
    <w:rsid w:val="005626A9"/>
    <w:rsid w:val="00646E68"/>
    <w:rsid w:val="00675AF7"/>
    <w:rsid w:val="006D4648"/>
    <w:rsid w:val="0070686F"/>
    <w:rsid w:val="007108D4"/>
    <w:rsid w:val="00747A41"/>
    <w:rsid w:val="007A0FC6"/>
    <w:rsid w:val="00872218"/>
    <w:rsid w:val="009037A5"/>
    <w:rsid w:val="00910B5A"/>
    <w:rsid w:val="009E5119"/>
    <w:rsid w:val="00A427D4"/>
    <w:rsid w:val="00A9438E"/>
    <w:rsid w:val="00AE4D26"/>
    <w:rsid w:val="00B24AEE"/>
    <w:rsid w:val="00B30BBB"/>
    <w:rsid w:val="00B5114F"/>
    <w:rsid w:val="00B8560D"/>
    <w:rsid w:val="00C43625"/>
    <w:rsid w:val="00C77F55"/>
    <w:rsid w:val="00CE286F"/>
    <w:rsid w:val="00F16899"/>
    <w:rsid w:val="00F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6E44"/>
  <w15:docId w15:val="{AB6A7FDC-EEF0-4DDC-AFD7-7E8B241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86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047CA"/>
  </w:style>
  <w:style w:type="paragraph" w:styleId="Textodeglobo">
    <w:name w:val="Balloon Text"/>
    <w:basedOn w:val="Normal"/>
    <w:link w:val="TextodegloboCar"/>
    <w:uiPriority w:val="99"/>
    <w:semiHidden/>
    <w:unhideWhenUsed/>
    <w:rsid w:val="0064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E6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114F"/>
    <w:rPr>
      <w:color w:val="0563C1" w:themeColor="hyperlink"/>
      <w:u w:val="single"/>
    </w:rPr>
  </w:style>
  <w:style w:type="paragraph" w:customStyle="1" w:styleId="Default">
    <w:name w:val="Default"/>
    <w:rsid w:val="00C436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037A5"/>
    <w:rPr>
      <w:b/>
      <w:bCs/>
    </w:rPr>
  </w:style>
  <w:style w:type="table" w:styleId="Tablaconcuadrcula">
    <w:name w:val="Table Grid"/>
    <w:basedOn w:val="Tablanormal"/>
    <w:uiPriority w:val="39"/>
    <w:rsid w:val="0038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es.wikipedia.org/wiki/Par%C3%A1metros_DHC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mmons.wikimedia.org/wiki/File:DHCP_session_en.sv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mmons.wikimedia.org/wiki/File:CabeceraTCP.pn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.wikipedia.org/wiki/Suma_de_verific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24</cp:revision>
  <dcterms:created xsi:type="dcterms:W3CDTF">2017-06-09T22:36:00Z</dcterms:created>
  <dcterms:modified xsi:type="dcterms:W3CDTF">2018-06-01T23:42:00Z</dcterms:modified>
</cp:coreProperties>
</file>