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7891D" w14:textId="5CCF06AA" w:rsidR="00DA626E" w:rsidRDefault="007C3098" w:rsidP="007C3098">
      <w:pPr>
        <w:jc w:val="center"/>
        <w:rPr>
          <w:b/>
          <w:bCs/>
          <w:lang w:val="fr-FR"/>
        </w:rPr>
      </w:pPr>
      <w:r>
        <w:rPr>
          <w:b/>
          <w:bCs/>
          <w:lang w:val="fr-FR"/>
        </w:rPr>
        <w:t>Valeurs normales femme enceinte</w:t>
      </w:r>
    </w:p>
    <w:p w14:paraId="5CB12A55" w14:textId="77777777" w:rsidR="007C3098" w:rsidRDefault="007C3098" w:rsidP="007C3098">
      <w:pPr>
        <w:jc w:val="center"/>
        <w:rPr>
          <w:lang w:val="fr-FR"/>
        </w:rPr>
      </w:pPr>
    </w:p>
    <w:p w14:paraId="2BD639DC" w14:textId="40B23044" w:rsidR="007C3098" w:rsidRDefault="007C3098" w:rsidP="007C3098">
      <w:pPr>
        <w:jc w:val="both"/>
        <w:rPr>
          <w:b/>
          <w:bCs/>
          <w:lang w:val="fr-FR"/>
        </w:rPr>
      </w:pPr>
      <w:r>
        <w:rPr>
          <w:b/>
          <w:bCs/>
          <w:lang w:val="fr-FR"/>
        </w:rPr>
        <w:t xml:space="preserve">Rythme cardiaque : </w:t>
      </w:r>
      <w:r w:rsidRPr="007C3098">
        <w:rPr>
          <w:lang w:val="fr-FR"/>
        </w:rPr>
        <w:t>entre 60 et 100 battements par minute</w:t>
      </w:r>
    </w:p>
    <w:p w14:paraId="05938C59" w14:textId="039BA7CB" w:rsidR="007C3098" w:rsidRDefault="007C3098" w:rsidP="007C3098">
      <w:pPr>
        <w:jc w:val="both"/>
        <w:rPr>
          <w:lang w:val="fr-FR"/>
        </w:rPr>
      </w:pPr>
      <w:r>
        <w:rPr>
          <w:b/>
          <w:bCs/>
          <w:lang w:val="fr-FR"/>
        </w:rPr>
        <w:t xml:space="preserve">Tension artérielle : </w:t>
      </w:r>
      <w:r w:rsidRPr="007C3098">
        <w:rPr>
          <w:lang w:val="fr-FR"/>
        </w:rPr>
        <w:t xml:space="preserve">systolique 12 – diastolique : </w:t>
      </w:r>
      <w:r>
        <w:rPr>
          <w:lang w:val="fr-FR"/>
        </w:rPr>
        <w:t>8</w:t>
      </w:r>
    </w:p>
    <w:p w14:paraId="5430B285" w14:textId="1C0DABED" w:rsidR="007C3098" w:rsidRPr="007C3098" w:rsidRDefault="007C3098" w:rsidP="007C3098">
      <w:pPr>
        <w:jc w:val="both"/>
        <w:rPr>
          <w:u w:val="single"/>
          <w:lang w:val="fr-FR"/>
        </w:rPr>
      </w:pPr>
      <w:r w:rsidRPr="007C3098">
        <w:rPr>
          <w:u w:val="single"/>
          <w:lang w:val="fr-FR"/>
        </w:rPr>
        <w:t>Si la TA dépasse 14/9 : danger, il faut consulter</w:t>
      </w:r>
    </w:p>
    <w:p w14:paraId="2A021782" w14:textId="4C8774E1" w:rsidR="007C3098" w:rsidRPr="007C3098" w:rsidRDefault="007C3098" w:rsidP="007C3098">
      <w:pPr>
        <w:jc w:val="both"/>
        <w:rPr>
          <w:lang w:val="fr-FR"/>
        </w:rPr>
      </w:pPr>
      <w:r>
        <w:rPr>
          <w:b/>
          <w:bCs/>
          <w:lang w:val="fr-FR"/>
        </w:rPr>
        <w:t xml:space="preserve">Glycémie à jeun : </w:t>
      </w:r>
      <w:r w:rsidRPr="007C3098">
        <w:rPr>
          <w:lang w:val="fr-FR"/>
        </w:rPr>
        <w:t>0.92g/L</w:t>
      </w:r>
    </w:p>
    <w:sectPr w:rsidR="007C3098" w:rsidRPr="007C30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098"/>
    <w:rsid w:val="007C3098"/>
    <w:rsid w:val="00A1479C"/>
    <w:rsid w:val="00D04FCC"/>
    <w:rsid w:val="00DA6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A0A738"/>
  <w15:chartTrackingRefBased/>
  <w15:docId w15:val="{879DDF50-718F-4A64-BAA6-2A7105170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T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C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C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C3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C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C3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C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C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C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C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C3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C3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C3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C309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C309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C309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C309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C309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C309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C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C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C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C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C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C309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C309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C309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C3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C309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7C30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Nahla</dc:creator>
  <cp:keywords/>
  <dc:description/>
  <cp:lastModifiedBy>Nahla</cp:lastModifiedBy>
  <cp:revision>2</cp:revision>
  <dcterms:created xsi:type="dcterms:W3CDTF">2026-03-09T07:30:00Z</dcterms:created>
  <dcterms:modified xsi:type="dcterms:W3CDTF">2026-03-09T07:37:00Z</dcterms:modified>
</cp:coreProperties>
</file>