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Explication de l'Architecture des Modules NestJS - Véhicule</w:t>
      </w:r>
    </w:p>
    <w:p>
      <w:pPr>
        <w:pStyle w:val="Heading1"/>
      </w:pPr>
      <w:r>
        <w:t>MoteurModule</w:t>
      </w:r>
    </w:p>
    <w:p>
      <w:r>
        <w:t>Le moteur représente la source principale d’énergie mécanique. Dans l’architecture, ce module contient un service qui démarre le moteur et génère la force nécessaire. Cette force est indispensable, car sans moteur en fonctionnement, aucun autre système ne peut être alimenté. Il joue donc le rôle d’élément central et initial.</w:t>
      </w:r>
    </w:p>
    <w:p>
      <w:pPr>
        <w:pStyle w:val="Heading1"/>
      </w:pPr>
      <w:r>
        <w:t>GenerateurModule</w:t>
      </w:r>
    </w:p>
    <w:p>
      <w:r>
        <w:t>L’alternateur dépend entièrement du moteur : il ne peut produire de l’électricité que si le moteur fonctionne. Une fois alimenté mécaniquement par le moteur, il convertit cette force en énergie électrique. Son service génère l’électricité qui sera consommée par les autres modules du véhicule.</w:t>
      </w:r>
    </w:p>
    <w:p>
      <w:pPr>
        <w:pStyle w:val="Heading1"/>
      </w:pPr>
      <w:r>
        <w:t>PhareModule</w:t>
      </w:r>
    </w:p>
    <w:p>
      <w:r>
        <w:t>Le phare nécessite de l’électricité pour fonctionner. Il dépend donc du générateur pour obtenir l’énergie nécessaire. Ce module représente ainsi un consommateur d’énergie électrique fourni par le générateur, ce qui montre une relation de dépendance en chaîne.</w:t>
      </w:r>
    </w:p>
    <w:p>
      <w:pPr>
        <w:pStyle w:val="Heading1"/>
      </w:pPr>
      <w:r>
        <w:t>AudioModule</w:t>
      </w:r>
    </w:p>
    <w:p>
      <w:r>
        <w:t>Comme les phares, le système audio dépend également de l’électricité produite par l’alternateur. Grâce au générateur alimenté par le moteur, ce module peut fonctionner et jouer de la musique. Son rôle est donc celui d’un autre consommateur de l’énergie électrique fournie.</w:t>
      </w:r>
    </w:p>
    <w:p>
      <w:pPr>
        <w:pStyle w:val="Heading1"/>
      </w:pPr>
      <w:r>
        <w:t>VehiculeModule</w:t>
      </w:r>
    </w:p>
    <w:p>
      <w:r>
        <w:t>Ce module orchestre l’ensemble des autres modules. Il les combine dans un ordre logique : démarrer le moteur, activer le générateur, puis permettre le fonctionnement des systèmes consommateurs comme les phares et l’audio. Il représente l’unité complète du véhicule en coordonnant toutes les opérations.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