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 xml:space="preserve">                                                            </w:t>
      </w:r>
      <w:r>
        <w:rPr>
          <w:b/>
        </w:rPr>
        <w:t>РЕШЕНИЕ</w:t>
      </w:r>
    </w:p>
    <w:p>
      <w:pPr>
        <w:pStyle w:val="style0"/>
      </w:pPr>
      <w:r>
        <w:rPr>
          <w:b/>
        </w:rPr>
      </w:r>
    </w:p>
    <w:p>
      <w:pPr>
        <w:pStyle w:val="style0"/>
        <w:jc w:val="center"/>
      </w:pPr>
      <w:r>
        <w:rPr/>
        <w:t>собственника помещения по вопросам повестки общего собрания всех собственников многоквартирного дома № 26 по ул. К. Либкнехта в форме заочного голосования (опроса)</w:t>
      </w:r>
    </w:p>
    <w:p>
      <w:pPr>
        <w:pStyle w:val="style0"/>
      </w:pPr>
      <w:r>
        <w:rPr/>
        <w:t xml:space="preserve">                                                 </w:t>
      </w:r>
      <w:r>
        <w:rPr/>
        <w:t>( отметьте свое решение любым знаком)</w:t>
      </w:r>
    </w:p>
    <w:tbl>
      <w:tblPr>
        <w:jc w:val="left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  <w:tblInd w:type="dxa" w:w="-108"/>
      </w:tblPr>
      <w:tblGrid>
        <w:gridCol w:w="640"/>
        <w:gridCol w:w="5702"/>
        <w:gridCol w:w="851"/>
        <w:gridCol w:w="992"/>
        <w:gridCol w:w="1385"/>
      </w:tblGrid>
      <w:tr>
        <w:trPr>
          <w:cantSplit w:val="false"/>
        </w:trPr>
        <w:tc>
          <w:tcPr>
            <w:tcW w:type="dxa" w:w="6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№</w:t>
            </w:r>
            <w:r>
              <w:rPr/>
              <w:t xml:space="preserve">/п    </w:t>
            </w:r>
          </w:p>
        </w:tc>
        <w:tc>
          <w:tcPr>
            <w:tcW w:type="dxa" w:w="57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Содержание вопроса повестки собрания</w:t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За</w:t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 xml:space="preserve">Против </w:t>
            </w:r>
          </w:p>
        </w:tc>
        <w:tc>
          <w:tcPr>
            <w:tcW w:type="dxa" w:w="1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Воздержался</w:t>
            </w:r>
          </w:p>
        </w:tc>
      </w:tr>
      <w:tr>
        <w:trPr>
          <w:cantSplit w:val="false"/>
        </w:trPr>
        <w:tc>
          <w:tcPr>
            <w:tcW w:type="dxa" w:w="64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</w:rPr>
              <w:t>1.</w:t>
            </w:r>
          </w:p>
        </w:tc>
        <w:tc>
          <w:tcPr>
            <w:tcW w:type="dxa" w:w="570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Утвердить плату за капитальный ремонт общего имущества жилого дома № 26 по ул. К. Либкнехта в размере 2,5 руб. с 1 кв.м. общей площади помещения в месяц. Плату взимать  с 01.01.2013 г.</w:t>
            </w:r>
          </w:p>
        </w:tc>
        <w:tc>
          <w:tcPr>
            <w:tcW w:type="dxa" w:w="85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99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1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_____________________________________________________________________________</w:t>
      </w:r>
    </w:p>
    <w:p>
      <w:pPr>
        <w:pStyle w:val="style0"/>
      </w:pPr>
      <w:r>
        <w:rPr/>
      </w:r>
    </w:p>
    <w:p>
      <w:pPr>
        <w:pStyle w:val="style0"/>
      </w:pPr>
      <w:r>
        <w:rPr/>
        <w:t>_____________________________________________________________________________</w:t>
      </w:r>
    </w:p>
    <w:p>
      <w:pPr>
        <w:pStyle w:val="style0"/>
      </w:pPr>
      <w:r>
        <w:rPr>
          <w:sz w:val="20"/>
          <w:szCs w:val="20"/>
        </w:rPr>
        <w:t>(Ф.И.О члена товарищества, № квартиры, доля собственности)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                                                                                                    </w:t>
      </w:r>
      <w:r>
        <w:rPr>
          <w:sz w:val="20"/>
          <w:szCs w:val="20"/>
        </w:rPr>
        <w:t>________________________________________</w:t>
      </w:r>
    </w:p>
    <w:p>
      <w:pPr>
        <w:pStyle w:val="style0"/>
        <w:tabs>
          <w:tab w:leader="none" w:pos="5220" w:val="left"/>
        </w:tabs>
      </w:pPr>
      <w:r>
        <w:rPr>
          <w:sz w:val="20"/>
          <w:szCs w:val="20"/>
        </w:rPr>
        <w:tab/>
        <w:t>(подпись, дата)</w:t>
      </w:r>
    </w:p>
    <w:p>
      <w:pPr>
        <w:pStyle w:val="style0"/>
        <w:tabs>
          <w:tab w:leader="none" w:pos="5220" w:val="left"/>
        </w:tabs>
      </w:pPr>
      <w:r>
        <w:rPr>
          <w:b/>
          <w:sz w:val="32"/>
          <w:szCs w:val="32"/>
          <w:u w:val="single"/>
        </w:rPr>
        <w:t xml:space="preserve">Просьба, после заполнения лист голосования положить в почтовый ящик кв.  </w:t>
      </w:r>
      <w:r>
        <w:rPr>
          <w:b/>
          <w:sz w:val="20"/>
          <w:szCs w:val="20"/>
          <w:u w:val="single"/>
        </w:rPr>
        <w:t xml:space="preserve">                                            </w:t>
      </w:r>
    </w:p>
    <w:p>
      <w:pPr>
        <w:pStyle w:val="style0"/>
        <w:tabs>
          <w:tab w:leader="none" w:pos="5220" w:val="left"/>
        </w:tabs>
      </w:pPr>
      <w:r>
        <w:rPr>
          <w:b/>
          <w:sz w:val="28"/>
          <w:szCs w:val="28"/>
          <w:u w:val="single"/>
        </w:rPr>
        <w:t>Время голосования по повестке собрания – две недели.  Последний день учета листков голосования -  20  декабря  2012 года.</w:t>
      </w:r>
    </w:p>
    <w:p>
      <w:pPr>
        <w:pStyle w:val="style0"/>
        <w:tabs>
          <w:tab w:leader="none" w:pos="5220" w:val="left"/>
        </w:tabs>
      </w:pPr>
      <w:r>
        <w:rPr>
          <w:sz w:val="28"/>
          <w:szCs w:val="28"/>
        </w:rPr>
        <w:t xml:space="preserve">                                                 </w:t>
      </w:r>
      <w:r>
        <w:rPr>
          <w:szCs w:val="20"/>
        </w:rPr>
        <w:t>Приложение к листу голосования.</w:t>
      </w:r>
    </w:p>
    <w:p>
      <w:pPr>
        <w:pStyle w:val="style0"/>
        <w:tabs>
          <w:tab w:leader="none" w:pos="5220" w:val="left"/>
        </w:tabs>
      </w:pPr>
      <w:r>
        <w:rPr>
          <w:b/>
          <w:szCs w:val="20"/>
        </w:rPr>
        <w:t xml:space="preserve">                                                      </w:t>
      </w:r>
      <w:r>
        <w:rPr>
          <w:b/>
          <w:sz w:val="32"/>
          <w:szCs w:val="20"/>
        </w:rPr>
        <w:t>План капитального ремонта</w:t>
      </w:r>
      <w:r>
        <w:rPr>
          <w:b/>
          <w:szCs w:val="20"/>
        </w:rPr>
        <w:t xml:space="preserve">.       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В связи с аварийным состоянием системы горячего и холодного водоснабжения, средства в первую очередь будут направлены на замену стояков ХВС и ГВС в квартирах, циркуляционных трубопроводах ГВС на 10-х этажах. По причине засоров трубопроводов система ГВС функционирует неудовлетворительно , и жильцам приходиться пропускать воду до нужной температуры , что ведет к перерасходу и дополнительным платежам. Частичная замена аварийных участков также ведет к дополнительным нерациональным расходам.</w:t>
      </w:r>
    </w:p>
    <w:p>
      <w:pPr>
        <w:pStyle w:val="style0"/>
      </w:pPr>
      <w:r>
        <w:rPr>
          <w:sz w:val="28"/>
          <w:szCs w:val="28"/>
          <w:lang w:eastAsia="ar-SA"/>
        </w:rPr>
        <w:t xml:space="preserve">      </w:t>
      </w:r>
      <w:r>
        <w:rPr>
          <w:b/>
          <w:sz w:val="28"/>
          <w:szCs w:val="28"/>
          <w:lang w:eastAsia="ar-SA"/>
        </w:rPr>
        <w:t xml:space="preserve">Внимание:  </w:t>
      </w:r>
      <w:r>
        <w:rPr>
          <w:b/>
          <w:sz w:val="28"/>
          <w:szCs w:val="28"/>
          <w:u w:val="single"/>
          <w:lang w:eastAsia="ar-SA"/>
        </w:rPr>
        <w:t xml:space="preserve">Собственникам, уже заменившим стояки ГВС, ХВС самостоятельно   </w:t>
      </w:r>
    </w:p>
    <w:p>
      <w:pPr>
        <w:pStyle w:val="style0"/>
      </w:pPr>
      <w:r>
        <w:rPr>
          <w:b/>
          <w:sz w:val="28"/>
          <w:szCs w:val="28"/>
          <w:u w:val="single"/>
          <w:lang w:eastAsia="ar-SA"/>
        </w:rPr>
        <w:t xml:space="preserve">       </w:t>
      </w:r>
      <w:r>
        <w:rPr>
          <w:b/>
          <w:sz w:val="28"/>
          <w:szCs w:val="28"/>
          <w:u w:val="single"/>
          <w:lang w:eastAsia="ar-SA"/>
        </w:rPr>
        <w:t>за свой счет,  будет произведён перерасчёт 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 xml:space="preserve">Ремонт коммуникаций ГВС , ХВС, отопления и канализации подвала. в т. ч. теплоизоляция. 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Ремонт и реконструкция системы ливневой канализации на кровле и в чердачной части т. к. часто случаются затопления во время сильного дождя.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Благоустройство и асфальтирование дворовой территории.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Устройство пандусов для детских и  инвалидных колясок.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Прочистка канализационных стояков с использованием гидродинамических аппаратов.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Ремонт входных групп.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Общестроительные работы в подвальной части – заделка отверстий под крыльцами и под ограждающими панелями. (потери тепла, вода стекает в подвал), другие расходы.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В районе 8 подъезда поднятие асфальтового покрытия и реконструкция ливневой канализации. т. к. в подвал стекает вода.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Установка</w:t>
      </w:r>
      <w:bookmarkStart w:id="0" w:name="_GoBack"/>
      <w:bookmarkEnd w:id="0"/>
      <w:r>
        <w:rPr>
          <w:sz w:val="28"/>
          <w:szCs w:val="28"/>
          <w:lang w:eastAsia="ar-SA"/>
        </w:rPr>
        <w:t xml:space="preserve"> светильников с датчиками на включение.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Перенос контейнерной площадки для ТБО на расстояние 20   м. от здания.</w:t>
      </w:r>
    </w:p>
    <w:p>
      <w:pPr>
        <w:pStyle w:val="style21"/>
        <w:numPr>
          <w:ilvl w:val="0"/>
          <w:numId w:val="1"/>
        </w:numPr>
      </w:pPr>
      <w:r>
        <w:rPr>
          <w:sz w:val="28"/>
          <w:szCs w:val="28"/>
          <w:lang w:eastAsia="ar-SA"/>
        </w:rPr>
        <w:t>Строительство автостоянки (будет решаться отдельным собранием).</w:t>
      </w:r>
    </w:p>
    <w:sectPr>
      <w:type w:val="nextPage"/>
      <w:pgSz w:h="16838" w:w="11906"/>
      <w:pgMar w:bottom="340" w:footer="0" w:gutter="0" w:header="0" w:left="340" w:right="340" w:top="340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570"/>
      </w:pPr>
    </w:lvl>
    <w:lvl w:ilvl="1">
      <w:start w:val="1"/>
      <w:numFmt w:val="lowerLetter"/>
      <w:lvlText w:val="%2."/>
      <w:lvlJc w:val="left"/>
      <w:pPr>
        <w:ind w:hanging="360" w:left="1290"/>
      </w:pPr>
    </w:lvl>
    <w:lvl w:ilvl="2">
      <w:start w:val="1"/>
      <w:numFmt w:val="lowerRoman"/>
      <w:lvlText w:val="%2.%3."/>
      <w:lvlJc w:val="right"/>
      <w:pPr>
        <w:ind w:hanging="180" w:left="2010"/>
      </w:pPr>
    </w:lvl>
    <w:lvl w:ilvl="3">
      <w:start w:val="1"/>
      <w:numFmt w:val="decimal"/>
      <w:lvlText w:val="%2.%3.%4."/>
      <w:lvlJc w:val="left"/>
      <w:pPr>
        <w:ind w:hanging="360" w:left="2730"/>
      </w:pPr>
    </w:lvl>
    <w:lvl w:ilvl="4">
      <w:start w:val="1"/>
      <w:numFmt w:val="lowerLetter"/>
      <w:lvlText w:val="%2.%3.%4.%5."/>
      <w:lvlJc w:val="left"/>
      <w:pPr>
        <w:ind w:hanging="360" w:left="3450"/>
      </w:pPr>
    </w:lvl>
    <w:lvl w:ilvl="5">
      <w:start w:val="1"/>
      <w:numFmt w:val="lowerRoman"/>
      <w:lvlText w:val="%2.%3.%4.%5.%6."/>
      <w:lvlJc w:val="right"/>
      <w:pPr>
        <w:ind w:hanging="180" w:left="4170"/>
      </w:pPr>
    </w:lvl>
    <w:lvl w:ilvl="6">
      <w:start w:val="1"/>
      <w:numFmt w:val="decimal"/>
      <w:lvlText w:val="%2.%3.%4.%5.%6.%7."/>
      <w:lvlJc w:val="left"/>
      <w:pPr>
        <w:ind w:hanging="360" w:left="4890"/>
      </w:pPr>
    </w:lvl>
    <w:lvl w:ilvl="7">
      <w:start w:val="1"/>
      <w:numFmt w:val="lowerLetter"/>
      <w:lvlText w:val="%2.%3.%4.%5.%6.%7.%8."/>
      <w:lvlJc w:val="left"/>
      <w:pPr>
        <w:ind w:hanging="360" w:left="5610"/>
      </w:pPr>
    </w:lvl>
    <w:lvl w:ilvl="8">
      <w:start w:val="1"/>
      <w:numFmt w:val="lowerRoman"/>
      <w:lvlText w:val="%2.%3.%4.%5.%6.%7.%8.%9."/>
      <w:lvlJc w:val="right"/>
      <w:pPr>
        <w:ind w:hanging="180" w:left="633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Devanagari" w:eastAsia="WenQuanYi Zen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  <w:style w:styleId="style21" w:type="paragraph">
    <w:name w:val="List Paragraph"/>
    <w:basedOn w:val="style0"/>
    <w:next w:val="style21"/>
    <w:pPr>
      <w:widowControl w:val="false"/>
      <w:ind w:firstLine="720" w:left="720" w:right="0"/>
      <w:jc w:val="both"/>
    </w:pPr>
    <w:rPr>
      <w:rFonts w:ascii="Arial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2012-11-24T07:11:00.00Z</dcterms:created>
  <dc:creator>admin</dc:creator>
  <cp:lastModifiedBy>admin</cp:lastModifiedBy>
  <dcterms:modified xsi:type="dcterms:W3CDTF">2012-11-24T07:11:00.00Z</dcterms:modified>
  <cp:revision>2</cp:revision>
  <dc:title>РЕШЕНИЕ</dc:title>
</cp:coreProperties>
</file>