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E0BF3" w14:textId="4C149BC0" w:rsidR="007A4CDA" w:rsidRDefault="007A4CDA" w:rsidP="007A4CDA"/>
    <w:p w14:paraId="5B9D1C61" w14:textId="4D316D64" w:rsidR="007A4CDA" w:rsidRDefault="00A023CA" w:rsidP="007A4CDA">
      <w:pPr>
        <w:pStyle w:val="Paragrafoelenco"/>
        <w:numPr>
          <w:ilvl w:val="0"/>
          <w:numId w:val="1"/>
        </w:numPr>
        <w:rPr>
          <w:b/>
          <w:color w:val="002060"/>
          <w:sz w:val="28"/>
        </w:rPr>
      </w:pPr>
      <w:r>
        <w:rPr>
          <w:b/>
          <w:color w:val="002060"/>
          <w:sz w:val="28"/>
        </w:rPr>
        <w:t>Requisiti N</w:t>
      </w:r>
      <w:r w:rsidR="007A4CDA" w:rsidRPr="007A4CDA">
        <w:rPr>
          <w:b/>
          <w:color w:val="002060"/>
          <w:sz w:val="28"/>
        </w:rPr>
        <w:t>on Funzionali</w:t>
      </w:r>
      <w:r w:rsidR="007A4CDA">
        <w:rPr>
          <w:b/>
          <w:color w:val="002060"/>
          <w:sz w:val="28"/>
        </w:rPr>
        <w:t xml:space="preserve">: </w:t>
      </w:r>
      <w:r w:rsidR="007A4CDA" w:rsidRPr="007A4CDA">
        <w:rPr>
          <w:b/>
          <w:color w:val="002060"/>
          <w:sz w:val="24"/>
        </w:rPr>
        <w:t>requisiti relativi al sistema (durata della sessione, norme sulla privacy,</w:t>
      </w:r>
      <w:r w:rsidR="007A4CDA">
        <w:rPr>
          <w:b/>
          <w:color w:val="002060"/>
          <w:sz w:val="24"/>
        </w:rPr>
        <w:t xml:space="preserve"> sicurezza,</w:t>
      </w:r>
      <w:r w:rsidR="007A4CDA" w:rsidRPr="007A4CDA">
        <w:rPr>
          <w:b/>
          <w:color w:val="002060"/>
          <w:sz w:val="24"/>
        </w:rPr>
        <w:t xml:space="preserve"> caratteristiche e durata della password a seconda del tipo di utente</w:t>
      </w:r>
      <w:r w:rsidR="007A4CDA">
        <w:rPr>
          <w:b/>
          <w:color w:val="002060"/>
          <w:sz w:val="24"/>
        </w:rPr>
        <w:t>, portabilità, interoperabilità</w:t>
      </w:r>
      <w:r w:rsidR="007A4CDA" w:rsidRPr="007A4CDA">
        <w:rPr>
          <w:b/>
          <w:color w:val="002060"/>
          <w:sz w:val="24"/>
        </w:rPr>
        <w:t>)</w:t>
      </w:r>
      <w:r w:rsidR="007A4CDA">
        <w:rPr>
          <w:b/>
          <w:color w:val="002060"/>
          <w:sz w:val="24"/>
        </w:rPr>
        <w:t>.</w:t>
      </w:r>
    </w:p>
    <w:p w14:paraId="35568A6F" w14:textId="77777777" w:rsidR="007A4CDA" w:rsidRPr="007A4CDA" w:rsidRDefault="007A4CDA" w:rsidP="007A4CDA">
      <w:pPr>
        <w:pStyle w:val="Paragrafoelenco"/>
        <w:ind w:left="360"/>
        <w:rPr>
          <w:b/>
          <w:color w:val="002060"/>
          <w:sz w:val="24"/>
        </w:rPr>
      </w:pPr>
    </w:p>
    <w:tbl>
      <w:tblPr>
        <w:tblStyle w:val="Grigliatabella"/>
        <w:tblW w:w="0" w:type="auto"/>
        <w:tblLook w:val="04A0" w:firstRow="1" w:lastRow="0" w:firstColumn="1" w:lastColumn="0" w:noHBand="0" w:noVBand="1"/>
      </w:tblPr>
      <w:tblGrid>
        <w:gridCol w:w="1246"/>
        <w:gridCol w:w="8382"/>
      </w:tblGrid>
      <w:tr w:rsidR="007A4CDA" w14:paraId="79BB83B0" w14:textId="77777777" w:rsidTr="00F35FB9">
        <w:tc>
          <w:tcPr>
            <w:tcW w:w="1246" w:type="dxa"/>
            <w:shd w:val="clear" w:color="auto" w:fill="8EAADB" w:themeFill="accent1" w:themeFillTint="99"/>
          </w:tcPr>
          <w:p w14:paraId="5409976B" w14:textId="77777777" w:rsidR="007A4CDA" w:rsidRPr="007A4CDA" w:rsidRDefault="007A4CDA" w:rsidP="007A4CDA">
            <w:pPr>
              <w:jc w:val="center"/>
              <w:rPr>
                <w:b/>
              </w:rPr>
            </w:pPr>
            <w:r w:rsidRPr="007A4CDA">
              <w:rPr>
                <w:b/>
              </w:rPr>
              <w:t>ID</w:t>
            </w:r>
          </w:p>
        </w:tc>
        <w:tc>
          <w:tcPr>
            <w:tcW w:w="8382" w:type="dxa"/>
            <w:shd w:val="clear" w:color="auto" w:fill="8EAADB" w:themeFill="accent1" w:themeFillTint="99"/>
          </w:tcPr>
          <w:p w14:paraId="0F02CE93" w14:textId="77777777" w:rsidR="007A4CDA" w:rsidRPr="007A4CDA" w:rsidRDefault="007A4CDA" w:rsidP="007A4CDA">
            <w:pPr>
              <w:jc w:val="center"/>
              <w:rPr>
                <w:b/>
              </w:rPr>
            </w:pPr>
            <w:r w:rsidRPr="007A4CDA">
              <w:rPr>
                <w:b/>
              </w:rPr>
              <w:t>Descrizione</w:t>
            </w:r>
          </w:p>
        </w:tc>
      </w:tr>
      <w:tr w:rsidR="007A4CDA" w14:paraId="7108740C" w14:textId="77777777" w:rsidTr="00F35FB9">
        <w:tc>
          <w:tcPr>
            <w:tcW w:w="1246" w:type="dxa"/>
          </w:tcPr>
          <w:p w14:paraId="29B7F02C" w14:textId="1E5BD3AD" w:rsidR="007A4CDA" w:rsidRPr="0059280F" w:rsidRDefault="0059280F" w:rsidP="0059280F">
            <w:pPr>
              <w:jc w:val="center"/>
              <w:rPr>
                <w:b/>
                <w:color w:val="FF0000"/>
              </w:rPr>
            </w:pPr>
            <w:r w:rsidRPr="0059280F">
              <w:rPr>
                <w:b/>
                <w:color w:val="FF0000"/>
              </w:rPr>
              <w:t>RNF-01</w:t>
            </w:r>
          </w:p>
        </w:tc>
        <w:tc>
          <w:tcPr>
            <w:tcW w:w="8382" w:type="dxa"/>
          </w:tcPr>
          <w:p w14:paraId="10859DEE" w14:textId="0733A685" w:rsidR="007A4CDA" w:rsidRPr="0059280F" w:rsidRDefault="0059280F">
            <w:pPr>
              <w:rPr>
                <w:b/>
              </w:rPr>
            </w:pPr>
            <w:r w:rsidRPr="0059280F">
              <w:rPr>
                <w:b/>
              </w:rPr>
              <w:t>Sicurezza</w:t>
            </w:r>
          </w:p>
        </w:tc>
      </w:tr>
      <w:tr w:rsidR="007A4CDA" w14:paraId="74C071B7" w14:textId="77777777" w:rsidTr="00F35FB9">
        <w:tc>
          <w:tcPr>
            <w:tcW w:w="1246" w:type="dxa"/>
          </w:tcPr>
          <w:p w14:paraId="6C58E03A" w14:textId="4B7CDE3A" w:rsidR="007A4CDA" w:rsidRPr="0059280F" w:rsidRDefault="0059280F" w:rsidP="0059280F">
            <w:pPr>
              <w:jc w:val="center"/>
              <w:rPr>
                <w:color w:val="FF0000"/>
              </w:rPr>
            </w:pPr>
            <w:r w:rsidRPr="0059280F">
              <w:rPr>
                <w:color w:val="FF0000"/>
              </w:rPr>
              <w:t>Descrizione</w:t>
            </w:r>
          </w:p>
        </w:tc>
        <w:tc>
          <w:tcPr>
            <w:tcW w:w="8382" w:type="dxa"/>
          </w:tcPr>
          <w:p w14:paraId="3C86640C" w14:textId="77777777" w:rsidR="007F530A" w:rsidRDefault="00A169A2">
            <w:r>
              <w:t xml:space="preserve">Il </w:t>
            </w:r>
            <w:r w:rsidR="007F530A">
              <w:t>sistema</w:t>
            </w:r>
            <w:r>
              <w:t xml:space="preserve"> non deve essere accessibile da utenti non autorizzati al suo utilizzo. Per prevenire l’accesso non autorizzato alle informazioni, il software richiedere l’inserimento di username e password al momento dell</w:t>
            </w:r>
            <w:r w:rsidR="007F530A">
              <w:t>’autenticazione</w:t>
            </w:r>
            <w:r>
              <w:t xml:space="preserve">. </w:t>
            </w:r>
          </w:p>
          <w:p w14:paraId="437A066A" w14:textId="5820C367" w:rsidR="001951B7" w:rsidRDefault="007F530A">
            <w:r>
              <w:t>In caso di perdita della password, n</w:t>
            </w:r>
            <w:r w:rsidR="00A169A2">
              <w:t>on è possibile recuperare la password precedente perché queste vengono salvate nel database tramite codifica SHA-1. Si prevede quindi la ge</w:t>
            </w:r>
            <w:r w:rsidR="001951B7">
              <w:t>nerazione di una nuova password, la quale verrà inviata tramite SMS se l’utente è un Care</w:t>
            </w:r>
            <w:r w:rsidR="0086600F">
              <w:t xml:space="preserve"> </w:t>
            </w:r>
            <w:r w:rsidR="001951B7">
              <w:t>Provider o tramite email se l’utente è un Paziente.</w:t>
            </w:r>
          </w:p>
          <w:p w14:paraId="5481F5A0" w14:textId="77777777" w:rsidR="007A4CDA" w:rsidRDefault="0059280F">
            <w:r w:rsidRPr="0059280F">
              <w:t xml:space="preserve">Ogni password dura 30 giorni. La scadenza della password viene controllata nel momento in cui l’utente associato tenta di eseguire il login. Se scaduta, la nuova password viene inviata all’utente per email la cui nuova scadenza è calcolata </w:t>
            </w:r>
            <w:r w:rsidR="00722D27">
              <w:t xml:space="preserve">aggiungendo alla data attuale </w:t>
            </w:r>
            <w:r w:rsidRPr="0059280F">
              <w:t>30 giorn</w:t>
            </w:r>
            <w:r w:rsidR="00970CF2">
              <w:t>i. La nuova password consta di 8</w:t>
            </w:r>
            <w:r w:rsidRPr="0059280F">
              <w:t xml:space="preserve"> caratteri alfanumerici (comprese le maiuscole).</w:t>
            </w:r>
          </w:p>
          <w:p w14:paraId="289EF241" w14:textId="4186ED68" w:rsidR="00722D27" w:rsidRDefault="00722D27">
            <w:r>
              <w:t>In caso di</w:t>
            </w:r>
            <w:r>
              <w:t xml:space="preserve"> perdita della username, il procedimento di recupero della stessa è analogo a quello adottato per il recupero della password.</w:t>
            </w:r>
          </w:p>
        </w:tc>
      </w:tr>
      <w:tr w:rsidR="007A4CDA" w14:paraId="71149848" w14:textId="77777777" w:rsidTr="00F35FB9">
        <w:tc>
          <w:tcPr>
            <w:tcW w:w="1246" w:type="dxa"/>
          </w:tcPr>
          <w:p w14:paraId="15D76BF9" w14:textId="21610519" w:rsidR="007A4CDA" w:rsidRPr="007F530A" w:rsidRDefault="007F530A" w:rsidP="007F530A">
            <w:pPr>
              <w:jc w:val="center"/>
              <w:rPr>
                <w:b/>
                <w:color w:val="FF0000"/>
              </w:rPr>
            </w:pPr>
            <w:r w:rsidRPr="007F530A">
              <w:rPr>
                <w:b/>
                <w:color w:val="FF0000"/>
              </w:rPr>
              <w:t>RNF-02</w:t>
            </w:r>
          </w:p>
        </w:tc>
        <w:tc>
          <w:tcPr>
            <w:tcW w:w="8382" w:type="dxa"/>
          </w:tcPr>
          <w:p w14:paraId="0455F7EB" w14:textId="41516CD9" w:rsidR="007A4CDA" w:rsidRPr="00E418FF" w:rsidRDefault="00E418FF">
            <w:pPr>
              <w:rPr>
                <w:b/>
              </w:rPr>
            </w:pPr>
            <w:r w:rsidRPr="00E418FF">
              <w:rPr>
                <w:b/>
              </w:rPr>
              <w:t>Privacy</w:t>
            </w:r>
          </w:p>
        </w:tc>
      </w:tr>
      <w:tr w:rsidR="007A4CDA" w14:paraId="360F2C02" w14:textId="77777777" w:rsidTr="00F35FB9">
        <w:tc>
          <w:tcPr>
            <w:tcW w:w="1246" w:type="dxa"/>
          </w:tcPr>
          <w:p w14:paraId="3E22FEEA" w14:textId="27F2546C" w:rsidR="007A4CDA" w:rsidRPr="007F530A" w:rsidRDefault="007F530A" w:rsidP="007F530A">
            <w:pPr>
              <w:jc w:val="center"/>
              <w:rPr>
                <w:color w:val="FF0000"/>
              </w:rPr>
            </w:pPr>
            <w:r w:rsidRPr="007F530A">
              <w:rPr>
                <w:color w:val="FF0000"/>
              </w:rPr>
              <w:t>Descrizione</w:t>
            </w:r>
          </w:p>
        </w:tc>
        <w:tc>
          <w:tcPr>
            <w:tcW w:w="8382" w:type="dxa"/>
          </w:tcPr>
          <w:p w14:paraId="6BC988E9" w14:textId="78A58EA7" w:rsidR="00E418FF" w:rsidRPr="00357BCA" w:rsidRDefault="00E418FF" w:rsidP="00E418FF">
            <w:pPr>
              <w:rPr>
                <w:rFonts w:cs="Courier New"/>
                <w:color w:val="000000" w:themeColor="text1"/>
              </w:rPr>
            </w:pPr>
            <w:r>
              <w:rPr>
                <w:rFonts w:cs="Courier New"/>
                <w:color w:val="000000" w:themeColor="text1"/>
              </w:rPr>
              <w:t>Si fa uso sia dei cookie (per default:</w:t>
            </w:r>
            <w:r w:rsidRPr="00357BCA">
              <w:rPr>
                <w:rFonts w:cs="Courier New"/>
                <w:color w:val="000000" w:themeColor="text1"/>
              </w:rPr>
              <w:t xml:space="preserve"> 100 giorni</w:t>
            </w:r>
            <w:r>
              <w:rPr>
                <w:rFonts w:cs="Courier New"/>
                <w:color w:val="000000" w:themeColor="text1"/>
              </w:rPr>
              <w:t>) sia delle sessioni</w:t>
            </w:r>
            <w:r w:rsidRPr="00357BCA">
              <w:rPr>
                <w:rFonts w:cs="Courier New"/>
                <w:color w:val="000000" w:themeColor="text1"/>
              </w:rPr>
              <w:t>.</w:t>
            </w:r>
          </w:p>
          <w:p w14:paraId="2D9648CF" w14:textId="2E90BA45" w:rsidR="00E418FF" w:rsidRPr="00357BCA" w:rsidRDefault="00E418FF" w:rsidP="00E418FF">
            <w:pPr>
              <w:rPr>
                <w:rFonts w:cs="Courier New"/>
                <w:color w:val="000000" w:themeColor="text1"/>
              </w:rPr>
            </w:pPr>
            <w:r w:rsidRPr="00357BCA">
              <w:rPr>
                <w:rFonts w:cs="Courier New"/>
                <w:color w:val="000000" w:themeColor="text1"/>
              </w:rPr>
              <w:t xml:space="preserve">Ogni sessione dura 15 minuti, dopodiché </w:t>
            </w:r>
            <w:r>
              <w:rPr>
                <w:rFonts w:cs="Courier New"/>
                <w:color w:val="000000" w:themeColor="text1"/>
              </w:rPr>
              <w:t>il sistema notifica che la sessione è scaduta ed è quindi necessario effettuare nuovamente il login</w:t>
            </w:r>
            <w:r w:rsidRPr="00357BCA">
              <w:rPr>
                <w:rFonts w:cs="Courier New"/>
                <w:color w:val="000000" w:themeColor="text1"/>
              </w:rPr>
              <w:t>.</w:t>
            </w:r>
          </w:p>
          <w:p w14:paraId="5F9A1B1E" w14:textId="7212A564" w:rsidR="007A4CDA" w:rsidRPr="009F4368" w:rsidRDefault="00E418FF">
            <w:pPr>
              <w:rPr>
                <w:rFonts w:cs="Courier New"/>
                <w:color w:val="000000" w:themeColor="text1"/>
              </w:rPr>
            </w:pPr>
            <w:r w:rsidRPr="00357BCA">
              <w:rPr>
                <w:rFonts w:cs="Courier New"/>
                <w:color w:val="000000" w:themeColor="text1"/>
              </w:rPr>
              <w:t>Per ogni sessione vengono memoriz</w:t>
            </w:r>
            <w:r>
              <w:rPr>
                <w:rFonts w:cs="Courier New"/>
                <w:color w:val="000000" w:themeColor="text1"/>
              </w:rPr>
              <w:t>zati tutti i dati utente, dall’indirizzo IP</w:t>
            </w:r>
            <w:r w:rsidRPr="00357BCA">
              <w:rPr>
                <w:rFonts w:cs="Courier New"/>
                <w:color w:val="000000" w:themeColor="text1"/>
              </w:rPr>
              <w:t xml:space="preserve"> al ruolo all’interno del FSE.</w:t>
            </w:r>
          </w:p>
        </w:tc>
      </w:tr>
      <w:tr w:rsidR="007A4CDA" w14:paraId="14498601" w14:textId="77777777" w:rsidTr="00F35FB9">
        <w:tc>
          <w:tcPr>
            <w:tcW w:w="1246" w:type="dxa"/>
          </w:tcPr>
          <w:p w14:paraId="7F1827F5" w14:textId="16FEE9E0" w:rsidR="007A4CDA" w:rsidRPr="00EA2810" w:rsidRDefault="00EA2810" w:rsidP="00EA2810">
            <w:pPr>
              <w:jc w:val="center"/>
              <w:rPr>
                <w:b/>
                <w:color w:val="FF0000"/>
              </w:rPr>
            </w:pPr>
            <w:r w:rsidRPr="00EA2810">
              <w:rPr>
                <w:b/>
                <w:color w:val="FF0000"/>
              </w:rPr>
              <w:t>RNF</w:t>
            </w:r>
            <w:r w:rsidR="005E0060">
              <w:rPr>
                <w:b/>
                <w:color w:val="FF0000"/>
              </w:rPr>
              <w:t>-</w:t>
            </w:r>
            <w:r w:rsidRPr="00EA2810">
              <w:rPr>
                <w:b/>
                <w:color w:val="FF0000"/>
              </w:rPr>
              <w:t>03</w:t>
            </w:r>
          </w:p>
        </w:tc>
        <w:tc>
          <w:tcPr>
            <w:tcW w:w="8382" w:type="dxa"/>
          </w:tcPr>
          <w:p w14:paraId="5CC1DD09" w14:textId="1446AC02" w:rsidR="007A4CDA" w:rsidRPr="00062F17" w:rsidRDefault="00062F17">
            <w:pPr>
              <w:rPr>
                <w:b/>
              </w:rPr>
            </w:pPr>
            <w:r w:rsidRPr="00062F17">
              <w:rPr>
                <w:b/>
              </w:rPr>
              <w:t>Interoperabilità</w:t>
            </w:r>
          </w:p>
        </w:tc>
      </w:tr>
      <w:tr w:rsidR="007A4CDA" w14:paraId="72FFE2E9" w14:textId="77777777" w:rsidTr="00F35FB9">
        <w:tc>
          <w:tcPr>
            <w:tcW w:w="1246" w:type="dxa"/>
          </w:tcPr>
          <w:p w14:paraId="63A67EC5" w14:textId="3FE8A422" w:rsidR="007A4CDA" w:rsidRPr="00EA2810" w:rsidRDefault="00EA2810" w:rsidP="00EA2810">
            <w:pPr>
              <w:jc w:val="center"/>
              <w:rPr>
                <w:color w:val="FF0000"/>
              </w:rPr>
            </w:pPr>
            <w:r w:rsidRPr="00EA2810">
              <w:rPr>
                <w:color w:val="FF0000"/>
              </w:rPr>
              <w:t>Descrizione</w:t>
            </w:r>
          </w:p>
        </w:tc>
        <w:tc>
          <w:tcPr>
            <w:tcW w:w="8382" w:type="dxa"/>
          </w:tcPr>
          <w:p w14:paraId="3E8CE391" w14:textId="6970155D" w:rsidR="00996E53" w:rsidRDefault="00FE7EE3">
            <w:r>
              <w:t xml:space="preserve">FHIR è </w:t>
            </w:r>
            <w:r w:rsidR="00996E53">
              <w:t>lo standard</w:t>
            </w:r>
            <w:r w:rsidR="00996E53" w:rsidRPr="00996E53">
              <w:t xml:space="preserve"> per l’interoperabilità tra sistemi sanitari che si scambiano risorse</w:t>
            </w:r>
            <w:r w:rsidR="00167D19">
              <w:t xml:space="preserve"> utilizzato dal sistema</w:t>
            </w:r>
            <w:r w:rsidR="00996E53" w:rsidRPr="00996E53">
              <w:t>.</w:t>
            </w:r>
          </w:p>
          <w:p w14:paraId="3C1B48EE" w14:textId="1598B7F0" w:rsidR="007A4CDA" w:rsidRDefault="00996E53">
            <w:r>
              <w:t>R</w:t>
            </w:r>
            <w:r w:rsidR="00FE7EE3" w:rsidRPr="00FE7EE3">
              <w:t>ilasciato da HL7 International</w:t>
            </w:r>
            <w:r w:rsidR="00FE7EE3">
              <w:t xml:space="preserve">, </w:t>
            </w:r>
            <w:r w:rsidR="009F4368" w:rsidRPr="009F4368">
              <w:t>l’autorità globale sugli standard per l’interoperabilità e l’intercomunicazione nell’ informatica medica</w:t>
            </w:r>
            <w:r w:rsidR="009F4368">
              <w:t>.</w:t>
            </w:r>
          </w:p>
          <w:p w14:paraId="055A446E" w14:textId="7737C2BC" w:rsidR="00FE7EE3" w:rsidRDefault="00167D19" w:rsidP="00167D19">
            <w:r>
              <w:t xml:space="preserve">Il sistema prevede </w:t>
            </w:r>
            <w:r w:rsidRPr="00167D19">
              <w:t>che le risorse individuate nei vari EHR</w:t>
            </w:r>
            <w:r>
              <w:t xml:space="preserve"> (</w:t>
            </w:r>
            <w:r>
              <w:rPr>
                <w:iCs/>
              </w:rPr>
              <w:t>Electronic Health R</w:t>
            </w:r>
            <w:r w:rsidRPr="00167D19">
              <w:rPr>
                <w:iCs/>
              </w:rPr>
              <w:t>ecord</w:t>
            </w:r>
            <w:r>
              <w:rPr>
                <w:iCs/>
              </w:rPr>
              <w:t>: cartella clinica elettronica</w:t>
            </w:r>
            <w:r>
              <w:t>)</w:t>
            </w:r>
            <w:r w:rsidRPr="00167D19">
              <w:t xml:space="preserve"> vengano codificate in formato XML (eXtensible Markup Language) oppure JSON (JavaScript Object Notation), poiché entrambi i linguaggi sono fortemente utilizzati dalle tecnologie web per la strutturazione di dati</w:t>
            </w:r>
            <w:r>
              <w:t>.</w:t>
            </w:r>
            <w:bookmarkStart w:id="0" w:name="_GoBack"/>
            <w:bookmarkEnd w:id="0"/>
          </w:p>
        </w:tc>
      </w:tr>
      <w:tr w:rsidR="00F35FB9" w14:paraId="1D18DB3E" w14:textId="77777777" w:rsidTr="00F35FB9">
        <w:tc>
          <w:tcPr>
            <w:tcW w:w="1246" w:type="dxa"/>
          </w:tcPr>
          <w:p w14:paraId="5DB0F243" w14:textId="4C5EF2FE" w:rsidR="00F35FB9" w:rsidRDefault="00F35FB9" w:rsidP="00F35FB9">
            <w:pPr>
              <w:jc w:val="center"/>
            </w:pPr>
            <w:r>
              <w:rPr>
                <w:b/>
                <w:color w:val="FF0000"/>
              </w:rPr>
              <w:t>RNF</w:t>
            </w:r>
            <w:r w:rsidR="005E0060">
              <w:rPr>
                <w:b/>
                <w:color w:val="FF0000"/>
              </w:rPr>
              <w:t>-</w:t>
            </w:r>
            <w:r>
              <w:rPr>
                <w:b/>
                <w:color w:val="FF0000"/>
              </w:rPr>
              <w:t>04</w:t>
            </w:r>
          </w:p>
        </w:tc>
        <w:tc>
          <w:tcPr>
            <w:tcW w:w="8382" w:type="dxa"/>
          </w:tcPr>
          <w:p w14:paraId="684AEAA6" w14:textId="0257EB7A" w:rsidR="00F35FB9" w:rsidRPr="00F35FB9" w:rsidRDefault="005E0060" w:rsidP="00F35FB9">
            <w:pPr>
              <w:rPr>
                <w:b/>
              </w:rPr>
            </w:pPr>
            <w:r>
              <w:rPr>
                <w:b/>
              </w:rPr>
              <w:t>Conformità agli standard</w:t>
            </w:r>
          </w:p>
        </w:tc>
      </w:tr>
      <w:tr w:rsidR="00F35FB9" w14:paraId="7329E617" w14:textId="77777777" w:rsidTr="00F35FB9">
        <w:tc>
          <w:tcPr>
            <w:tcW w:w="1246" w:type="dxa"/>
          </w:tcPr>
          <w:p w14:paraId="0654719C" w14:textId="4A7BC905" w:rsidR="00F35FB9" w:rsidRDefault="00F35FB9" w:rsidP="00F35FB9">
            <w:pPr>
              <w:jc w:val="center"/>
            </w:pPr>
            <w:r w:rsidRPr="00EA2810">
              <w:rPr>
                <w:color w:val="FF0000"/>
              </w:rPr>
              <w:t>Descrizione</w:t>
            </w:r>
          </w:p>
        </w:tc>
        <w:tc>
          <w:tcPr>
            <w:tcW w:w="8382" w:type="dxa"/>
          </w:tcPr>
          <w:p w14:paraId="6ACD4619" w14:textId="7F0BD6E6" w:rsidR="00F35FB9" w:rsidRDefault="009C0DFE" w:rsidP="00F35FB9">
            <w:r>
              <w:t>Il sistema di</w:t>
            </w:r>
            <w:r w:rsidR="005E0060" w:rsidRPr="005E0060">
              <w:t xml:space="preserve"> codifica</w:t>
            </w:r>
            <w:r>
              <w:t xml:space="preserve"> utilizzato per la classificazione delle malattie è l’</w:t>
            </w:r>
            <w:r w:rsidR="005E0060" w:rsidRPr="005E0060">
              <w:t xml:space="preserve">International Statistical Classification of Diseases (ICD) </w:t>
            </w:r>
            <w:r w:rsidRPr="009C0DFE">
              <w:t>nel quale le malattie e i traumatismi sono ordinati per finalità statistiche in gruppi tra loro correlati</w:t>
            </w:r>
          </w:p>
          <w:p w14:paraId="2FE7D361" w14:textId="433D25FC" w:rsidR="009C0DFE" w:rsidRDefault="009C0DFE" w:rsidP="00F35FB9">
            <w:r w:rsidRPr="009C0DFE">
              <w:t xml:space="preserve">Il sistema di codifica standardizzato utilizzato per descrivere univocamente osservazioni cliniche e di laboratorio </w:t>
            </w:r>
            <w:r>
              <w:t xml:space="preserve">e </w:t>
            </w:r>
            <w:r w:rsidRPr="009C0DFE">
              <w:t>per permettere il trasferimento elettronico di dati Clinici dai laboratori analisi che li producono agli ospedali e studi medici</w:t>
            </w:r>
            <w:r>
              <w:t xml:space="preserve"> </w:t>
            </w:r>
            <w:r w:rsidRPr="009C0DFE">
              <w:t>è il Logical Observation Identifiers Names and Codes (LOINC)</w:t>
            </w:r>
            <w:r>
              <w:t>.</w:t>
            </w:r>
          </w:p>
          <w:p w14:paraId="7097306E" w14:textId="58900D76" w:rsidR="009C0DFE" w:rsidRDefault="009C0DFE" w:rsidP="00F35FB9"/>
        </w:tc>
      </w:tr>
    </w:tbl>
    <w:p w14:paraId="5D9F9371" w14:textId="77777777" w:rsidR="007A4CDA" w:rsidRDefault="007A4CDA"/>
    <w:sectPr w:rsidR="007A4CD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07383" w14:textId="77777777" w:rsidR="00340439" w:rsidRDefault="00340439" w:rsidP="007A4CDA">
      <w:pPr>
        <w:spacing w:after="0" w:line="240" w:lineRule="auto"/>
      </w:pPr>
      <w:r>
        <w:separator/>
      </w:r>
    </w:p>
  </w:endnote>
  <w:endnote w:type="continuationSeparator" w:id="0">
    <w:p w14:paraId="1FB6CB33" w14:textId="77777777" w:rsidR="00340439" w:rsidRDefault="00340439" w:rsidP="007A4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D5D77" w14:textId="77777777" w:rsidR="00340439" w:rsidRDefault="00340439" w:rsidP="007A4CDA">
      <w:pPr>
        <w:spacing w:after="0" w:line="240" w:lineRule="auto"/>
      </w:pPr>
      <w:r>
        <w:separator/>
      </w:r>
    </w:p>
  </w:footnote>
  <w:footnote w:type="continuationSeparator" w:id="0">
    <w:p w14:paraId="7A3D16EC" w14:textId="77777777" w:rsidR="00340439" w:rsidRDefault="00340439" w:rsidP="007A4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C26CE4"/>
    <w:multiLevelType w:val="hybridMultilevel"/>
    <w:tmpl w:val="69CAD78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83B"/>
    <w:rsid w:val="00062F17"/>
    <w:rsid w:val="00085989"/>
    <w:rsid w:val="000B16F2"/>
    <w:rsid w:val="00146407"/>
    <w:rsid w:val="00167D19"/>
    <w:rsid w:val="00175D9A"/>
    <w:rsid w:val="001951B7"/>
    <w:rsid w:val="0021034B"/>
    <w:rsid w:val="002E3446"/>
    <w:rsid w:val="002F505D"/>
    <w:rsid w:val="00340439"/>
    <w:rsid w:val="003653D1"/>
    <w:rsid w:val="003A346B"/>
    <w:rsid w:val="003D22C1"/>
    <w:rsid w:val="003D2517"/>
    <w:rsid w:val="003E5747"/>
    <w:rsid w:val="004252C0"/>
    <w:rsid w:val="004666AB"/>
    <w:rsid w:val="00477F58"/>
    <w:rsid w:val="004828BF"/>
    <w:rsid w:val="004D54CC"/>
    <w:rsid w:val="004E546A"/>
    <w:rsid w:val="00520755"/>
    <w:rsid w:val="005844E7"/>
    <w:rsid w:val="0059280F"/>
    <w:rsid w:val="005E0060"/>
    <w:rsid w:val="00625028"/>
    <w:rsid w:val="006373F1"/>
    <w:rsid w:val="006F046C"/>
    <w:rsid w:val="00722D27"/>
    <w:rsid w:val="0078702D"/>
    <w:rsid w:val="007A4CDA"/>
    <w:rsid w:val="007B0854"/>
    <w:rsid w:val="007B36C1"/>
    <w:rsid w:val="007F530A"/>
    <w:rsid w:val="00826AB1"/>
    <w:rsid w:val="0086600F"/>
    <w:rsid w:val="00896CBF"/>
    <w:rsid w:val="00897320"/>
    <w:rsid w:val="008B25B8"/>
    <w:rsid w:val="0092110C"/>
    <w:rsid w:val="00925EDE"/>
    <w:rsid w:val="00970CF2"/>
    <w:rsid w:val="00996E53"/>
    <w:rsid w:val="009A6E07"/>
    <w:rsid w:val="009B63AB"/>
    <w:rsid w:val="009C0DFE"/>
    <w:rsid w:val="009F4368"/>
    <w:rsid w:val="00A023CA"/>
    <w:rsid w:val="00A169A2"/>
    <w:rsid w:val="00A76B0C"/>
    <w:rsid w:val="00A864F1"/>
    <w:rsid w:val="00AA1B98"/>
    <w:rsid w:val="00B04B71"/>
    <w:rsid w:val="00B07BDE"/>
    <w:rsid w:val="00B861CC"/>
    <w:rsid w:val="00C02469"/>
    <w:rsid w:val="00C4683B"/>
    <w:rsid w:val="00C64659"/>
    <w:rsid w:val="00C7193D"/>
    <w:rsid w:val="00C73C06"/>
    <w:rsid w:val="00CA1816"/>
    <w:rsid w:val="00D95C12"/>
    <w:rsid w:val="00DA27BC"/>
    <w:rsid w:val="00DC575C"/>
    <w:rsid w:val="00DD24BB"/>
    <w:rsid w:val="00E00078"/>
    <w:rsid w:val="00E418FF"/>
    <w:rsid w:val="00E43D4C"/>
    <w:rsid w:val="00E8329D"/>
    <w:rsid w:val="00EA2810"/>
    <w:rsid w:val="00EC40FD"/>
    <w:rsid w:val="00F35FB9"/>
    <w:rsid w:val="00F93DF8"/>
    <w:rsid w:val="00FD1758"/>
    <w:rsid w:val="00FE7E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AA72"/>
  <w15:chartTrackingRefBased/>
  <w15:docId w15:val="{D9E7BF02-2983-4C81-B966-D0D1C8F7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A4CDA"/>
    <w:pPr>
      <w:ind w:left="720"/>
      <w:contextualSpacing/>
    </w:pPr>
  </w:style>
  <w:style w:type="table" w:styleId="Grigliatabella">
    <w:name w:val="Table Grid"/>
    <w:basedOn w:val="Tabellanormale"/>
    <w:uiPriority w:val="39"/>
    <w:rsid w:val="007A4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7A4CD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A4CDA"/>
  </w:style>
  <w:style w:type="paragraph" w:styleId="Pidipagina">
    <w:name w:val="footer"/>
    <w:basedOn w:val="Normale"/>
    <w:link w:val="PidipaginaCarattere"/>
    <w:uiPriority w:val="99"/>
    <w:unhideWhenUsed/>
    <w:rsid w:val="007A4CD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A4CDA"/>
  </w:style>
  <w:style w:type="character" w:styleId="Rimandocommento">
    <w:name w:val="annotation reference"/>
    <w:basedOn w:val="Carpredefinitoparagrafo"/>
    <w:uiPriority w:val="99"/>
    <w:semiHidden/>
    <w:unhideWhenUsed/>
    <w:rsid w:val="007A4CDA"/>
    <w:rPr>
      <w:sz w:val="16"/>
      <w:szCs w:val="16"/>
    </w:rPr>
  </w:style>
  <w:style w:type="paragraph" w:styleId="Testocommento">
    <w:name w:val="annotation text"/>
    <w:basedOn w:val="Normale"/>
    <w:link w:val="TestocommentoCarattere"/>
    <w:uiPriority w:val="99"/>
    <w:semiHidden/>
    <w:unhideWhenUsed/>
    <w:rsid w:val="007A4CD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A4CDA"/>
    <w:rPr>
      <w:sz w:val="20"/>
      <w:szCs w:val="20"/>
    </w:rPr>
  </w:style>
  <w:style w:type="paragraph" w:styleId="Soggettocommento">
    <w:name w:val="annotation subject"/>
    <w:basedOn w:val="Testocommento"/>
    <w:next w:val="Testocommento"/>
    <w:link w:val="SoggettocommentoCarattere"/>
    <w:uiPriority w:val="99"/>
    <w:semiHidden/>
    <w:unhideWhenUsed/>
    <w:rsid w:val="007A4CDA"/>
    <w:rPr>
      <w:b/>
      <w:bCs/>
    </w:rPr>
  </w:style>
  <w:style w:type="character" w:customStyle="1" w:styleId="SoggettocommentoCarattere">
    <w:name w:val="Soggetto commento Carattere"/>
    <w:basedOn w:val="TestocommentoCarattere"/>
    <w:link w:val="Soggettocommento"/>
    <w:uiPriority w:val="99"/>
    <w:semiHidden/>
    <w:rsid w:val="007A4CDA"/>
    <w:rPr>
      <w:b/>
      <w:bCs/>
      <w:sz w:val="20"/>
      <w:szCs w:val="20"/>
    </w:rPr>
  </w:style>
  <w:style w:type="paragraph" w:styleId="Testofumetto">
    <w:name w:val="Balloon Text"/>
    <w:basedOn w:val="Normale"/>
    <w:link w:val="TestofumettoCarattere"/>
    <w:uiPriority w:val="99"/>
    <w:semiHidden/>
    <w:unhideWhenUsed/>
    <w:rsid w:val="007A4CD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A4C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1</Pages>
  <Words>428</Words>
  <Characters>2444</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Plantone</dc:creator>
  <cp:keywords/>
  <dc:description/>
  <cp:lastModifiedBy>Vincenzo Plantone</cp:lastModifiedBy>
  <cp:revision>32</cp:revision>
  <dcterms:created xsi:type="dcterms:W3CDTF">2018-02-17T16:32:00Z</dcterms:created>
  <dcterms:modified xsi:type="dcterms:W3CDTF">2018-02-20T18:36:00Z</dcterms:modified>
</cp:coreProperties>
</file>