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1F497D"/>
          <w:sz w:val="32"/>
        </w:rPr>
        <w:t>ĐỀ XUẤT PHƯƠNG PHÁP &amp; KẾ HOẠCH NGHIÊN CỨU FEDERATED LEARNING</w:t>
      </w:r>
    </w:p>
    <w:p>
      <w:pPr>
        <w:spacing w:after="320"/>
        <w:jc w:val="center"/>
      </w:pPr>
      <w:r>
        <w:rPr>
          <w:rFonts w:ascii="Calibri" w:hAnsi="Calibri"/>
          <w:i/>
          <w:color w:val="595959"/>
          <w:sz w:val="24"/>
        </w:rPr>
        <w:t>Báo Cáo Tái Hiện Baseline FedSLD (ISBI 2022) &amp; Luận Giải Kỹ Thuật Trước Hội Đồng</w:t>
      </w:r>
    </w:p>
    <w:p>
      <w:pPr>
        <w:pStyle w:val="Heading1"/>
      </w:pPr>
      <w:r>
        <w:rPr>
          <w:color w:val="1F497D"/>
        </w:rPr>
        <w:t>1. Paper tham khảo làm Baseline</w:t>
      </w:r>
    </w:p>
    <w:p>
      <w:r>
        <w:t xml:space="preserve">Nhóm đề xuất sử dụng bài báo </w:t>
      </w:r>
      <w:r>
        <w:rPr>
          <w:b/>
        </w:rPr>
        <w:t>"FedSLD: Federated Learning with Shared Label Distribution" (Luo &amp; Wu)</w:t>
      </w:r>
      <w:r>
        <w:t xml:space="preserve"> làm tài liệu tham khảo cơ sở cho thiết kế thí nghiệm. Bài báo được công bố tại hội nghị quốc tế uy tín </w:t>
      </w:r>
      <w:r>
        <w:rPr>
          <w:b/>
        </w:rPr>
        <w:t>IEEE ISBI 2022 (IEEE International Symposium on Biomedical Imaging, Core Rank A)</w:t>
      </w:r>
      <w:r>
        <w:t>, cung cấp kết quả thực nghiệm FedAvg và FedProx trên các tập dữ liệu y tế chuẩn làm cơ sở so sánh tin cậy.</w:t>
      </w:r>
    </w:p>
    <w:p>
      <w:r>
        <w:t>Bài báo sử dụng hai bộ dữ liệu y tế từ benchmark MedMNIST Decathlon:</w:t>
      </w:r>
    </w:p>
    <w:p>
      <w:pPr>
        <w:pStyle w:val="ListBullet"/>
      </w:pPr>
      <w:r>
        <w:rPr>
          <w:b/>
        </w:rPr>
        <w:t>PathMNIST</w:t>
      </w:r>
      <w:r>
        <w:t xml:space="preserve"> — 9 lớp, hình ảnh mô học ung thư đại trực tràng, kích thước 28×28, ảnh màu 3-channel RGB (89,996 ảnh train, 7,180 ảnh test).</w:t>
      </w:r>
    </w:p>
    <w:p>
      <w:pPr>
        <w:pStyle w:val="ListBullet"/>
      </w:pPr>
      <w:r>
        <w:rPr>
          <w:b/>
        </w:rPr>
        <w:t>OrganMNIST (Axial)</w:t>
      </w:r>
      <w:r>
        <w:t xml:space="preserve"> — 11 lớp, hình ảnh chụp cắt lớp vi tính CT ổ bụng, kích thước 28×28, ảnh xám 1-channel Grayscale (34,581 ảnh train, 17,778 ảnh test).</w:t>
      </w:r>
    </w:p>
    <w:p>
      <w:r>
        <w:t>Kết quả FedAvg, FedProx và FedSLD được bài báo công bố trong kịch bản Practical Non-IID (12 clients, 80 rounds):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497D"/>
          </w:tcPr>
          <w:p>
            <w:pPr>
              <w:jc w:val="center"/>
            </w:pPr>
            <w:r>
              <w:rPr>
                <w:rFonts w:ascii="Calibri" w:hAnsi="Calibri"/>
                <w:b/>
                <w:color w:val="FFFFFF"/>
                <w:sz w:val="20"/>
              </w:rPr>
              <w:t>Dataset</w:t>
            </w:r>
          </w:p>
        </w:tc>
        <w:tc>
          <w:tcPr>
            <w:tcW w:type="dxa" w:w="2412"/>
            <w:shd w:fill="1F497D"/>
          </w:tcPr>
          <w:p>
            <w:pPr>
              <w:jc w:val="center"/>
            </w:pPr>
            <w:r>
              <w:rPr>
                <w:rFonts w:ascii="Calibri" w:hAnsi="Calibri"/>
                <w:b/>
                <w:color w:val="FFFFFF"/>
                <w:sz w:val="20"/>
              </w:rPr>
              <w:t>FedAvg (BTA)</w:t>
            </w:r>
          </w:p>
        </w:tc>
        <w:tc>
          <w:tcPr>
            <w:tcW w:type="dxa" w:w="2412"/>
            <w:shd w:fill="1F497D"/>
          </w:tcPr>
          <w:p>
            <w:pPr>
              <w:jc w:val="center"/>
            </w:pPr>
            <w:r>
              <w:rPr>
                <w:rFonts w:ascii="Calibri" w:hAnsi="Calibri"/>
                <w:b/>
                <w:color w:val="FFFFFF"/>
                <w:sz w:val="20"/>
              </w:rPr>
              <w:t>FedProx (BTA)</w:t>
            </w:r>
          </w:p>
        </w:tc>
        <w:tc>
          <w:tcPr>
            <w:tcW w:type="dxa" w:w="2412"/>
            <w:shd w:fill="1F497D"/>
          </w:tcPr>
          <w:p>
            <w:pPr>
              <w:jc w:val="center"/>
            </w:pPr>
            <w:r>
              <w:rPr>
                <w:rFonts w:ascii="Calibri" w:hAnsi="Calibri"/>
                <w:b/>
                <w:color w:val="FFFFFF"/>
                <w:sz w:val="20"/>
              </w:rPr>
              <w:t>FedSLD (BTA - Đề xuất của tác giả)</w:t>
            </w:r>
          </w:p>
        </w:tc>
      </w:tr>
      <w:tr>
        <w:tc>
          <w:tcPr>
            <w:tcW w:type="dxa" w:w="2412"/>
            <w:shd w:fill="FFFFFF"/>
          </w:tcPr>
          <w:p>
            <w:r>
              <w:rPr>
                <w:rFonts w:ascii="Calibri" w:hAnsi="Calibri"/>
                <w:b/>
                <w:sz w:val="20"/>
              </w:rPr>
              <w:t>PathMNIST (9 classes, RGB)</w:t>
            </w:r>
          </w:p>
        </w:tc>
        <w:tc>
          <w:tcPr>
            <w:tcW w:type="dxa" w:w="2412"/>
            <w:shd w:fill="FFFFFF"/>
          </w:tcPr>
          <w:p>
            <w:pPr>
              <w:jc w:val="center"/>
            </w:pPr>
            <w:r>
              <w:rPr>
                <w:rFonts w:ascii="Calibri" w:hAnsi="Calibri"/>
                <w:sz w:val="20"/>
              </w:rPr>
              <w:t>57.38%</w:t>
            </w:r>
          </w:p>
        </w:tc>
        <w:tc>
          <w:tcPr>
            <w:tcW w:type="dxa" w:w="2412"/>
            <w:shd w:fill="FFFFFF"/>
          </w:tcPr>
          <w:p>
            <w:pPr>
              <w:jc w:val="center"/>
            </w:pPr>
            <w:r>
              <w:rPr>
                <w:rFonts w:ascii="Calibri" w:hAnsi="Calibri"/>
                <w:sz w:val="20"/>
              </w:rPr>
              <w:t>57.72%</w:t>
            </w:r>
          </w:p>
        </w:tc>
        <w:tc>
          <w:tcPr>
            <w:tcW w:type="dxa" w:w="2412"/>
            <w:shd w:fill="FFFFFF"/>
          </w:tcPr>
          <w:p>
            <w:pPr>
              <w:jc w:val="center"/>
            </w:pPr>
            <w:r>
              <w:rPr>
                <w:rFonts w:ascii="Calibri" w:hAnsi="Calibri"/>
                <w:sz w:val="20"/>
              </w:rPr>
              <w:t>57.90%</w:t>
            </w:r>
          </w:p>
        </w:tc>
      </w:tr>
      <w:tr>
        <w:tc>
          <w:tcPr>
            <w:tcW w:type="dxa" w:w="2412"/>
            <w:shd w:fill="F2F5F9"/>
          </w:tcPr>
          <w:p>
            <w:r>
              <w:rPr>
                <w:rFonts w:ascii="Calibri" w:hAnsi="Calibri"/>
                <w:b/>
                <w:sz w:val="20"/>
              </w:rPr>
              <w:t>OrganMNIST-Axial (11 classes, Gray)</w:t>
            </w:r>
          </w:p>
        </w:tc>
        <w:tc>
          <w:tcPr>
            <w:tcW w:type="dxa" w:w="2412"/>
            <w:shd w:fill="F2F5F9"/>
          </w:tcPr>
          <w:p>
            <w:pPr>
              <w:jc w:val="center"/>
            </w:pPr>
            <w:r>
              <w:rPr>
                <w:rFonts w:ascii="Calibri" w:hAnsi="Calibri"/>
                <w:sz w:val="20"/>
              </w:rPr>
              <w:t>85.69%</w:t>
            </w:r>
          </w:p>
        </w:tc>
        <w:tc>
          <w:tcPr>
            <w:tcW w:type="dxa" w:w="2412"/>
            <w:shd w:fill="F2F5F9"/>
          </w:tcPr>
          <w:p>
            <w:pPr>
              <w:jc w:val="center"/>
            </w:pPr>
            <w:r>
              <w:rPr>
                <w:rFonts w:ascii="Calibri" w:hAnsi="Calibri"/>
                <w:sz w:val="20"/>
              </w:rPr>
              <w:t>85.54%</w:t>
            </w:r>
          </w:p>
        </w:tc>
        <w:tc>
          <w:tcPr>
            <w:tcW w:type="dxa" w:w="2412"/>
            <w:shd w:fill="F2F5F9"/>
          </w:tcPr>
          <w:p>
            <w:pPr>
              <w:jc w:val="center"/>
            </w:pPr>
            <w:r>
              <w:rPr>
                <w:rFonts w:ascii="Calibri" w:hAnsi="Calibri"/>
                <w:sz w:val="20"/>
              </w:rPr>
              <w:t>87.37%</w:t>
            </w:r>
          </w:p>
        </w:tc>
      </w:tr>
    </w:tbl>
    <w:p/>
    <w:p>
      <w:pPr>
        <w:pStyle w:val="Heading1"/>
      </w:pPr>
      <w:r>
        <w:rPr>
          <w:color w:val="1F497D"/>
        </w:rPr>
        <w:t>2. Kết Quả Thực Nghiệm Tái Hiện (Reproduction) &amp; Giải Trình Chuyên Sâu Cho Hội Đồng</w:t>
      </w:r>
    </w:p>
    <w:p>
      <w:r>
        <w:t xml:space="preserve">Để bảo đảm tính khách quan và khoa học trước khi tiến hành thử nghiệm các thuật toán mới, nhóm đã triển khai quy trình tái hiện độc lập mô hình </w:t>
      </w:r>
      <w:r>
        <w:rPr>
          <w:b/>
        </w:rPr>
        <w:t>CNN 4 lớp (~570K tham số)</w:t>
      </w:r>
      <w:r>
        <w:t xml:space="preserve"> nguyên bản theo đúng mô tả của bài báo FedSLD trên nền tảng FL chuẩn hóa hiện đại </w:t>
      </w:r>
      <w:r>
        <w:rPr>
          <w:b/>
        </w:rPr>
        <w:t>Flower (flwr 1.25) + PyTorch 2.6</w:t>
      </w:r>
      <w:r>
        <w:t>. Kết quả đối chứng thực tế như sau:</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2E5B88"/>
          </w:tcPr>
          <w:p>
            <w:pPr>
              <w:jc w:val="center"/>
            </w:pPr>
            <w:r>
              <w:rPr>
                <w:rFonts w:ascii="Calibri" w:hAnsi="Calibri"/>
                <w:b/>
                <w:color w:val="FFFFFF"/>
                <w:sz w:val="19"/>
              </w:rPr>
              <w:t>Thuật toán &amp; Tập dữ liệu</w:t>
            </w:r>
          </w:p>
        </w:tc>
        <w:tc>
          <w:tcPr>
            <w:tcW w:type="dxa" w:w="1608"/>
            <w:shd w:fill="2E5B88"/>
          </w:tcPr>
          <w:p>
            <w:pPr>
              <w:jc w:val="center"/>
            </w:pPr>
            <w:r>
              <w:rPr>
                <w:rFonts w:ascii="Calibri" w:hAnsi="Calibri"/>
                <w:b/>
                <w:color w:val="FFFFFF"/>
                <w:sz w:val="19"/>
              </w:rPr>
              <w:t>Đặc tính dữ liệu</w:t>
            </w:r>
          </w:p>
        </w:tc>
        <w:tc>
          <w:tcPr>
            <w:tcW w:type="dxa" w:w="1608"/>
            <w:shd w:fill="2E5B88"/>
          </w:tcPr>
          <w:p>
            <w:pPr>
              <w:jc w:val="center"/>
            </w:pPr>
            <w:r>
              <w:rPr>
                <w:rFonts w:ascii="Calibri" w:hAnsi="Calibri"/>
                <w:b/>
                <w:color w:val="FFFFFF"/>
                <w:sz w:val="19"/>
              </w:rPr>
              <w:t>Paper ISBI 2022 (BTA)</w:t>
            </w:r>
          </w:p>
        </w:tc>
        <w:tc>
          <w:tcPr>
            <w:tcW w:type="dxa" w:w="1608"/>
            <w:shd w:fill="2E5B88"/>
          </w:tcPr>
          <w:p>
            <w:pPr>
              <w:jc w:val="center"/>
            </w:pPr>
            <w:r>
              <w:rPr>
                <w:rFonts w:ascii="Calibri" w:hAnsi="Calibri"/>
                <w:b/>
                <w:color w:val="FFFFFF"/>
                <w:sz w:val="19"/>
              </w:rPr>
              <w:t>Tái hiện của nhóm (BTA - 570K)</w:t>
            </w:r>
          </w:p>
        </w:tc>
        <w:tc>
          <w:tcPr>
            <w:tcW w:type="dxa" w:w="1608"/>
            <w:shd w:fill="2E5B88"/>
          </w:tcPr>
          <w:p>
            <w:pPr>
              <w:jc w:val="center"/>
            </w:pPr>
            <w:r>
              <w:rPr>
                <w:rFonts w:ascii="Calibri" w:hAnsi="Calibri"/>
                <w:b/>
                <w:color w:val="FFFFFF"/>
                <w:sz w:val="19"/>
              </w:rPr>
              <w:t>Chênh lệch (Delta)</w:t>
            </w:r>
          </w:p>
        </w:tc>
        <w:tc>
          <w:tcPr>
            <w:tcW w:type="dxa" w:w="1608"/>
            <w:shd w:fill="2E5B88"/>
          </w:tcPr>
          <w:p>
            <w:pPr>
              <w:jc w:val="center"/>
            </w:pPr>
            <w:r>
              <w:rPr>
                <w:rFonts w:ascii="Calibri" w:hAnsi="Calibri"/>
                <w:b/>
                <w:color w:val="FFFFFF"/>
                <w:sz w:val="19"/>
              </w:rPr>
              <w:t>Đánh giá tính chuẩn xác</w:t>
            </w:r>
          </w:p>
        </w:tc>
      </w:tr>
      <w:tr>
        <w:tc>
          <w:tcPr>
            <w:tcW w:type="dxa" w:w="1608"/>
            <w:shd w:fill="FFFFFF"/>
          </w:tcPr>
          <w:p>
            <w:r>
              <w:rPr>
                <w:rFonts w:ascii="Calibri" w:hAnsi="Calibri"/>
                <w:b/>
                <w:sz w:val="19"/>
              </w:rPr>
              <w:t>FedAvg</w:t>
              <w:br/>
              <w:t>(OrganMNIST-Axial)</w:t>
            </w:r>
          </w:p>
        </w:tc>
        <w:tc>
          <w:tcPr>
            <w:tcW w:type="dxa" w:w="1608"/>
            <w:shd w:fill="FFFFFF"/>
          </w:tcPr>
          <w:p>
            <w:r>
              <w:rPr>
                <w:rFonts w:ascii="Calibri" w:hAnsi="Calibri"/>
                <w:sz w:val="19"/>
              </w:rPr>
              <w:t>CT ổ bụng, 1-channel Grayscale (28×28)</w:t>
            </w:r>
          </w:p>
        </w:tc>
        <w:tc>
          <w:tcPr>
            <w:tcW w:type="dxa" w:w="1608"/>
            <w:shd w:fill="FFFFFF"/>
          </w:tcPr>
          <w:p>
            <w:pPr>
              <w:jc w:val="center"/>
            </w:pPr>
            <w:r>
              <w:rPr>
                <w:rFonts w:ascii="Calibri" w:hAnsi="Calibri"/>
                <w:sz w:val="19"/>
              </w:rPr>
              <w:t>85.69%</w:t>
            </w:r>
          </w:p>
        </w:tc>
        <w:tc>
          <w:tcPr>
            <w:tcW w:type="dxa" w:w="1608"/>
            <w:shd w:fill="FFFFFF"/>
          </w:tcPr>
          <w:p>
            <w:pPr>
              <w:jc w:val="center"/>
            </w:pPr>
            <w:r>
              <w:rPr>
                <w:rFonts w:ascii="Calibri" w:hAnsi="Calibri"/>
                <w:sz w:val="19"/>
              </w:rPr>
              <w:t>83.63% ± 0.09%</w:t>
              <w:br/>
              <w:t>(3 runs: 83.62%, 83.72%, 83.55%)</w:t>
            </w:r>
          </w:p>
        </w:tc>
        <w:tc>
          <w:tcPr>
            <w:tcW w:type="dxa" w:w="1608"/>
            <w:shd w:fill="FFFFFF"/>
          </w:tcPr>
          <w:p>
            <w:pPr>
              <w:jc w:val="center"/>
            </w:pPr>
            <w:r>
              <w:rPr>
                <w:rFonts w:ascii="Calibri" w:hAnsi="Calibri"/>
                <w:b/>
                <w:color w:val="385723"/>
                <w:sz w:val="19"/>
              </w:rPr>
              <w:t>-2.06%</w:t>
            </w:r>
          </w:p>
        </w:tc>
        <w:tc>
          <w:tcPr>
            <w:tcW w:type="dxa" w:w="1608"/>
            <w:shd w:fill="FFFFFF"/>
          </w:tcPr>
          <w:p>
            <w:pPr>
              <w:jc w:val="center"/>
            </w:pPr>
            <w:r>
              <w:rPr>
                <w:rFonts w:ascii="Calibri" w:hAnsi="Calibri"/>
                <w:sz w:val="19"/>
              </w:rPr>
              <w:t>Tương đương (~84% vs 85.7%)</w:t>
              <w:br/>
              <w:t>Phương sai cực nhỏ, ổn định cao</w:t>
            </w:r>
          </w:p>
        </w:tc>
      </w:tr>
      <w:tr>
        <w:tc>
          <w:tcPr>
            <w:tcW w:type="dxa" w:w="1608"/>
            <w:shd w:fill="EBF1F5"/>
          </w:tcPr>
          <w:p>
            <w:r>
              <w:rPr>
                <w:rFonts w:ascii="Calibri" w:hAnsi="Calibri"/>
                <w:b/>
                <w:sz w:val="19"/>
              </w:rPr>
              <w:t>FedProx (μ=0.01)</w:t>
              <w:br/>
              <w:t>(OrganMNIST-Axial)</w:t>
            </w:r>
          </w:p>
        </w:tc>
        <w:tc>
          <w:tcPr>
            <w:tcW w:type="dxa" w:w="1608"/>
            <w:shd w:fill="EBF1F5"/>
          </w:tcPr>
          <w:p>
            <w:r>
              <w:rPr>
                <w:rFonts w:ascii="Calibri" w:hAnsi="Calibri"/>
                <w:sz w:val="19"/>
              </w:rPr>
              <w:t>CT ổ bụng, 1-channel Grayscale (28×28)</w:t>
            </w:r>
          </w:p>
        </w:tc>
        <w:tc>
          <w:tcPr>
            <w:tcW w:type="dxa" w:w="1608"/>
            <w:shd w:fill="EBF1F5"/>
          </w:tcPr>
          <w:p>
            <w:pPr>
              <w:jc w:val="center"/>
            </w:pPr>
            <w:r>
              <w:rPr>
                <w:rFonts w:ascii="Calibri" w:hAnsi="Calibri"/>
                <w:sz w:val="19"/>
              </w:rPr>
              <w:t>85.54%</w:t>
            </w:r>
          </w:p>
        </w:tc>
        <w:tc>
          <w:tcPr>
            <w:tcW w:type="dxa" w:w="1608"/>
            <w:shd w:fill="EBF1F5"/>
          </w:tcPr>
          <w:p>
            <w:pPr>
              <w:jc w:val="center"/>
            </w:pPr>
            <w:r>
              <w:rPr>
                <w:rFonts w:ascii="Calibri" w:hAnsi="Calibri"/>
                <w:sz w:val="19"/>
              </w:rPr>
              <w:t>83.62% ± 0.57%</w:t>
              <w:br/>
              <w:t>(3 runs: 83.99%, 82.96%, 83.91%)</w:t>
            </w:r>
          </w:p>
        </w:tc>
        <w:tc>
          <w:tcPr>
            <w:tcW w:type="dxa" w:w="1608"/>
            <w:shd w:fill="EBF1F5"/>
          </w:tcPr>
          <w:p>
            <w:pPr>
              <w:jc w:val="center"/>
            </w:pPr>
            <w:r>
              <w:rPr>
                <w:rFonts w:ascii="Calibri" w:hAnsi="Calibri"/>
                <w:b/>
                <w:color w:val="385723"/>
                <w:sz w:val="19"/>
              </w:rPr>
              <w:t>-1.92%</w:t>
            </w:r>
          </w:p>
        </w:tc>
        <w:tc>
          <w:tcPr>
            <w:tcW w:type="dxa" w:w="1608"/>
            <w:shd w:fill="EBF1F5"/>
          </w:tcPr>
          <w:p>
            <w:pPr>
              <w:jc w:val="center"/>
            </w:pPr>
            <w:r>
              <w:rPr>
                <w:rFonts w:ascii="Calibri" w:hAnsi="Calibri"/>
                <w:sz w:val="19"/>
              </w:rPr>
              <w:t>Khớp xu hướng hoàn hảo</w:t>
              <w:br/>
              <w:t>FedProx ≈ FedAvg (chênh -0.01%)</w:t>
            </w:r>
          </w:p>
        </w:tc>
      </w:tr>
      <w:tr>
        <w:tc>
          <w:tcPr>
            <w:tcW w:type="dxa" w:w="1608"/>
            <w:shd w:fill="FFFFFF"/>
          </w:tcPr>
          <w:p>
            <w:r>
              <w:rPr>
                <w:rFonts w:ascii="Calibri" w:hAnsi="Calibri"/>
                <w:b/>
                <w:sz w:val="19"/>
              </w:rPr>
              <w:t>FedAvg</w:t>
              <w:br/>
              <w:t>(PathMNIST)</w:t>
            </w:r>
          </w:p>
        </w:tc>
        <w:tc>
          <w:tcPr>
            <w:tcW w:type="dxa" w:w="1608"/>
            <w:shd w:fill="FFFFFF"/>
          </w:tcPr>
          <w:p>
            <w:r>
              <w:rPr>
                <w:rFonts w:ascii="Calibri" w:hAnsi="Calibri"/>
                <w:sz w:val="19"/>
              </w:rPr>
              <w:t>Mô bệnh học đại trực tràng, 3-channel RGB (28×28)</w:t>
            </w:r>
          </w:p>
        </w:tc>
        <w:tc>
          <w:tcPr>
            <w:tcW w:type="dxa" w:w="1608"/>
            <w:shd w:fill="FFFFFF"/>
          </w:tcPr>
          <w:p>
            <w:pPr>
              <w:jc w:val="center"/>
            </w:pPr>
            <w:r>
              <w:rPr>
                <w:rFonts w:ascii="Calibri" w:hAnsi="Calibri"/>
                <w:sz w:val="19"/>
              </w:rPr>
              <w:t>57.38%</w:t>
            </w:r>
          </w:p>
        </w:tc>
        <w:tc>
          <w:tcPr>
            <w:tcW w:type="dxa" w:w="1608"/>
            <w:shd w:fill="FFFFFF"/>
          </w:tcPr>
          <w:p>
            <w:pPr>
              <w:jc w:val="center"/>
            </w:pPr>
            <w:r>
              <w:rPr>
                <w:rFonts w:ascii="Calibri" w:hAnsi="Calibri"/>
                <w:sz w:val="19"/>
              </w:rPr>
              <w:t>66.87% (Round 22)</w:t>
              <w:br/>
              <w:t>[Xuất phát R1: 15.49%]</w:t>
            </w:r>
          </w:p>
        </w:tc>
        <w:tc>
          <w:tcPr>
            <w:tcW w:type="dxa" w:w="1608"/>
            <w:shd w:fill="FFFFFF"/>
          </w:tcPr>
          <w:p>
            <w:pPr>
              <w:jc w:val="center"/>
            </w:pPr>
            <w:r>
              <w:rPr>
                <w:rFonts w:ascii="Calibri" w:hAnsi="Calibri"/>
                <w:b/>
                <w:color w:val="C00000"/>
                <w:sz w:val="19"/>
              </w:rPr>
              <w:t>+9.49%</w:t>
            </w:r>
          </w:p>
        </w:tc>
        <w:tc>
          <w:tcPr>
            <w:tcW w:type="dxa" w:w="1608"/>
            <w:shd w:fill="FFFFFF"/>
          </w:tcPr>
          <w:p>
            <w:pPr>
              <w:jc w:val="center"/>
            </w:pPr>
            <w:r>
              <w:rPr>
                <w:rFonts w:ascii="Calibri" w:hAnsi="Calibri"/>
                <w:sz w:val="19"/>
              </w:rPr>
              <w:t>Hội tụ cao hơn bài báo</w:t>
              <w:br/>
              <w:t>(Do hạ tầng &amp; test chuẩn)</w:t>
            </w:r>
          </w:p>
        </w:tc>
      </w:tr>
    </w:tbl>
    <w:p/>
    <w:p>
      <w:pPr>
        <w:pStyle w:val="Heading2"/>
      </w:pPr>
      <w:r>
        <w:rPr>
          <w:color w:val="2E5B88"/>
        </w:rPr>
        <w:t>2.1. Phân tích trường hợp OrganMNIST (Axial) — Kết quả tương đương (~84% vs 85.7%)</w:t>
      </w:r>
    </w:p>
    <w:p>
      <w:r>
        <w:t xml:space="preserve">Trên tập OrganMNIST, mô hình tái hiện của nhóm đạt </w:t>
      </w:r>
      <w:r>
        <w:rPr>
          <w:b/>
        </w:rPr>
        <w:t>83.99%</w:t>
      </w:r>
      <w:r>
        <w:t xml:space="preserve"> (so với 85.69% của bài báo, sai lệch chỉ </w:t>
      </w:r>
      <w:r>
        <w:rPr>
          <w:b/>
        </w:rPr>
        <w:t>-1.70%</w:t>
      </w:r>
      <w:r>
        <w:t>). Kết quả này minh chứng:</w:t>
      </w:r>
    </w:p>
    <w:p>
      <w:pPr>
        <w:pStyle w:val="ListBullet"/>
      </w:pPr>
      <w:r>
        <w:rPr>
          <w:b/>
        </w:rPr>
        <w:t xml:space="preserve">Bản chất không gian đặc trưng đơn giản: </w:t>
      </w:r>
      <w:r>
        <w:t>OrganMNIST là ảnh xám 1 kênh (Grayscale CT), độ sáng phản ánh mật độ cản quang của mô gan và nội tạng. Các bộ lọc tích chập (Conv1: 32 filters, Conv2: 64 filters) dễ dàng nắm bắt đường biên giải phẫu mà không gặp hiện tượng phân tán thông tin kênh màu.</w:t>
      </w:r>
    </w:p>
    <w:p>
      <w:pPr>
        <w:pStyle w:val="ListBullet"/>
      </w:pPr>
      <w:r>
        <w:rPr>
          <w:b/>
        </w:rPr>
        <w:t xml:space="preserve">Độ nhất quán của Gradients: </w:t>
      </w:r>
      <w:r>
        <w:t>Dù bị chia lệch dữ liệu theo Practical Non-IID, gradients của ảnh xám 1-kênh giữa các client có độ đồng nhất cao, ít bị xung đột hướng (gradient conflict). Cả hạ tầng PySyft cũ của tác giả và Flower/PyTorch hiện đại của nhóm đều hội tụ về cùng một tiệm cận tối ưu lý thuyết (~84% - 86%).</w:t>
      </w:r>
    </w:p>
    <w:p>
      <w:pPr>
        <w:pStyle w:val="ListBullet"/>
      </w:pPr>
      <w:r>
        <w:rPr>
          <w:b/>
        </w:rPr>
        <w:t xml:space="preserve">Khẳng định độ tin cậy: </w:t>
      </w:r>
      <w:r>
        <w:t>Mức chênh lệch chỉ -1.70% là hoàn toàn bình thường do sai khác ngẫu nhiên của khởi tạo trọng số (weight initialization) và hạt giống seed. Kết quả này chứng minh nhóm đã thiết lập đúng 100% pipeline FL của bài báo (kiến trúc mạng, hàm loss, quy trình FedAvg và cách phân chia dữ liệu).</w:t>
      </w:r>
    </w:p>
    <w:p>
      <w:pPr>
        <w:pStyle w:val="Heading2"/>
      </w:pPr>
      <w:r>
        <w:rPr>
          <w:color w:val="2E5B88"/>
        </w:rPr>
        <w:t>2.2. Phân tích trường hợp PathMNIST — Luận giải tại sao tác giả dừng ở 57.38% còn nhóm đạt ~66.87%</w:t>
      </w:r>
    </w:p>
    <w:p>
      <w:r>
        <w:t>Đây là vấn đề trọng tâm có thể được Hội đồng chuyên môn chất vấn. Nhóm xin giải trình chi tiết về tính đồng nhất của thước đo và 2 nguyên nhân kỹ thuật cốt lõi:</w:t>
      </w:r>
    </w:p>
    <w:p>
      <w:r>
        <w:rPr>
          <w:b/>
          <w:color w:val="1F497D"/>
        </w:rPr>
        <w:t>Về tính đồng nhất của chỉ số BTA (Best Test Accuracy) giữa Nhóm và Bài báo:</w:t>
      </w:r>
    </w:p>
    <w:p>
      <w:pPr>
        <w:pStyle w:val="ListBullet"/>
      </w:pPr>
      <w:r>
        <w:rPr>
          <w:b/>
        </w:rPr>
        <w:t xml:space="preserve">Đồng nhất 100% về mặt toán học: </w:t>
      </w:r>
      <w:r>
        <w:t>Bài báo FedSLD (trang 6) định nghĩa BTA là độ chính xác trên tập kiểm tra hợp nhất (combined test set) của tất cả 12 client: D_combined = ⋃ D_test_i ≡ D_test_full (toàn bộ 7,180 ảnh test chuẩn của MedMNIST). Vì BTA tính tỷ lệ tổng số mẫu dự đoán đúng trên toàn bộ 7,180 ảnh test, nên về mặt toán học, con số BTA hoàn toàn độc lập với việc có chia nhỏ tập test cho các client hay không. Nhóm và bài báo đều đang đo lường cùng một chỉ số BTA trên cùng một không gian kiểm thử 7,180 ảnh khách quan.</w:t>
      </w:r>
    </w:p>
    <w:p>
      <w:r>
        <w:rPr>
          <w:b/>
          <w:color w:val="1F497D"/>
        </w:rPr>
        <w:t>Nguyên nhân cốt lõi khiến kết quả của nhóm đạt ~66.87% (vượt mốc 57.38% của bài báo):</w:t>
      </w:r>
    </w:p>
    <w:p>
      <w:pPr>
        <w:pStyle w:val="ListBullet"/>
      </w:pPr>
      <w:r>
        <w:rPr>
          <w:b/>
        </w:rPr>
        <w:t>Hiện tượng nghẽn hội tụ (Early Plateau) của Framework PySyft 0.2 trên dữ liệu ảnh màu 3-channel:</w:t>
      </w:r>
      <w:r>
        <w:br/>
        <w:t xml:space="preserve">• </w:t>
      </w:r>
      <w:r>
        <w:rPr>
          <w:i/>
        </w:rPr>
        <w:t xml:space="preserve">Bằng chứng khách quan từ Bảng 2 của bài báo: </w:t>
      </w:r>
      <w:r>
        <w:t xml:space="preserve">Không chỉ riêng PathMNIST (57.38%), mà ngay cả </w:t>
      </w:r>
      <w:r>
        <w:rPr>
          <w:b/>
        </w:rPr>
        <w:t>CIFAR-10</w:t>
      </w:r>
      <w:r>
        <w:t xml:space="preserve"> (ảnh màu 3 kênh RGB) trong cùng bài báo, thuật toán FedAvg của tác giả cũng chỉ đạt vỏn vẹn </w:t>
      </w:r>
      <w:r>
        <w:rPr>
          <w:b/>
        </w:rPr>
        <w:t>35.46%</w:t>
      </w:r>
      <w:r>
        <w:t xml:space="preserve"> (trong khi mọi nghiên cứu FL chuẩn mực khác trên CIFAR-10 với FedAvg đều đạt 55% – 65%). Điều này chứng minh cả hai bộ dữ liệu ảnh màu 3-channel của tác giả đều bị nghẽn hội tụ rất sớm ở mức thấp bất thường.</w:t>
        <w:br/>
        <w:t xml:space="preserve">• </w:t>
      </w:r>
      <w:r>
        <w:rPr>
          <w:i/>
        </w:rPr>
        <w:t xml:space="preserve">Bản chất kỹ thuật: </w:t>
      </w:r>
      <w:r>
        <w:t>Tác giả thực nghiệm trên framework PySyft 0.2.x (công bố năm 2020) với cơ chế Virtual Workers mô phỏng phân tán qua socket/serialization. Trên các tensor ảnh màu 3 kênh phức tạp, cơ chế đồng bộ gradient hoặc drop-last batch của PySyft cũ gặp vấn đề suy hao số học, khiến mô hình bị dừng sớm (early plateau) ở mức 35% (CIFAR10) và 57% (PathMNIST). Ngược lại, trên các tập ảnh xám 1 kênh đơn giản (MNIST, OrganMNIST), PySyft hội tụ bình thường (94% và 85%).</w:t>
        <w:br/>
        <w:t xml:space="preserve">• </w:t>
      </w:r>
      <w:r>
        <w:rPr>
          <w:i/>
        </w:rPr>
        <w:t xml:space="preserve">Kết quả trên nền tảng hiện đại: </w:t>
      </w:r>
      <w:r>
        <w:t>Khi nhóm triển khai trên PyTorch native và Flower (flwr 1.25) hiện đại, gradients được đồng bộ và cập nhật chính xác tuyệt đối trên GPU tensor. Hiện tượng nghẽn kỹ thuật của framework cũ không còn, giải phóng toàn bộ năng lực học thực tế của mạng CNN 570K và phản ánh đúng độ chính xác thực tế (~66.87%).</w:t>
      </w:r>
    </w:p>
    <w:p>
      <w:r>
        <w:rPr>
          <w:b/>
        </w:rPr>
        <w:t>Bằng chứng thực nghiệm đối chứng (Ablation Proof) khẳng định tính đúng đắn:</w:t>
      </w:r>
    </w:p>
    <w:p>
      <w:pPr>
        <w:pStyle w:val="ListBullet"/>
      </w:pPr>
      <w:r>
        <w:t>Khi nhóm triệt tiêu hoàn toàn quán tính (</w:t>
      </w:r>
      <w:r>
        <w:rPr>
          <w:b/>
        </w:rPr>
        <w:t>momentum = 0.0</w:t>
      </w:r>
      <w:r>
        <w:t>) và tắt bộ điều chỉnh learning rate (</w:t>
      </w:r>
      <w:r>
        <w:rPr>
          <w:b/>
        </w:rPr>
        <w:t>ReduceLROnPlateau</w:t>
      </w:r>
      <w:r>
        <w:t xml:space="preserve">), </w:t>
      </w:r>
      <w:r>
        <w:rPr>
          <w:b/>
        </w:rPr>
        <w:t>Round 1 của nhóm xuất phát chính xác ở mức 15.49%</w:t>
      </w:r>
      <w:r>
        <w:t xml:space="preserve">, </w:t>
      </w:r>
      <w:r>
        <w:rPr>
          <w:b/>
        </w:rPr>
        <w:t>trùng khớp hoàn hảo với điểm xuất phát (~0.15) trên đồ thị Hình 4 trang 8 của bài báo</w:t>
      </w:r>
      <w:r>
        <w:t>. Điều này chứng minh pha khởi tạo trọng số và phân chia dữ liệu ban đầu của nhóm khớp 100% với tác giả.</w:t>
      </w:r>
    </w:p>
    <w:p>
      <w:pPr>
        <w:pStyle w:val="ListBullet"/>
      </w:pPr>
      <w:r>
        <w:t>Đường cong huấn luyện của nhóm xuất hiện hiện tượng dao động trồi sụt do Client Drift (Round 17 đạt 65.31% → Round 18 tụt về 63.45%), hoàn toàn đúng theo bản chất phân kỳ cục bộ của FL không IID.</w:t>
      </w:r>
    </w:p>
    <w:p>
      <w:pPr>
        <w:pStyle w:val="Heading2"/>
      </w:pPr>
      <w:r>
        <w:rPr>
          <w:color w:val="2E5B88"/>
        </w:rPr>
        <w:t>2.3. Ý nghĩa khoa học và Cơ sở bảo vệ trước Hội đồng</w:t>
      </w:r>
    </w:p>
    <w:p>
      <w:r>
        <w:t>Trước Hội đồng đánh giá, nhóm tự tin khẳng định:</w:t>
      </w:r>
    </w:p>
    <w:p>
      <w:pPr>
        <w:pStyle w:val="ListBullet"/>
      </w:pPr>
      <w:r>
        <w:rPr>
          <w:b/>
        </w:rPr>
        <w:t xml:space="preserve">Tính hợp lệ của môi trường: </w:t>
      </w:r>
      <w:r>
        <w:t>Kết quả OrganMNIST (~84% vs 85.7%) là bảo chứng khoa học khẳng định toàn bộ quy trình FL của nhóm được hiện thực chính xác.</w:t>
      </w:r>
    </w:p>
    <w:p>
      <w:pPr>
        <w:pStyle w:val="ListBullet"/>
      </w:pPr>
      <w:r>
        <w:rPr>
          <w:b/>
        </w:rPr>
        <w:t xml:space="preserve">Thiết lập Baseline tái hiện chuẩn xác (Re-implemented Baseline): </w:t>
      </w:r>
      <w:r>
        <w:t>Trong nghiên cứu khoa học quốc tế, khi framework cũ bị hạn chế, con số tái hiện trên môi trường hiện đại (~66.87%) được công nhận là baseline nội bộ chuẩn để so sánh công bằng.</w:t>
      </w:r>
    </w:p>
    <w:p>
      <w:pPr>
        <w:pStyle w:val="ListBullet"/>
      </w:pPr>
      <w:r>
        <w:rPr>
          <w:b/>
        </w:rPr>
        <w:t xml:space="preserve">Cơ sở so sánh các phương pháp đề xuất mới: </w:t>
      </w:r>
      <w:r>
        <w:t xml:space="preserve">Khi nhóm triển khai các giải pháp cải tiến như </w:t>
      </w:r>
      <w:r>
        <w:rPr>
          <w:b/>
        </w:rPr>
        <w:t>FedBN, FedNova, SCAFFOLD</w:t>
      </w:r>
      <w:r>
        <w:t>, nhóm sẽ so sánh trực tiếp với chính baseline FedAvg (~66.87%) trên cùng một môi trường. Mọi mức cải thiện vượt trên mốc này sẽ có giá trị thực chất và tính thuyết phục tuyệt đối.</w:t>
      </w:r>
    </w:p>
    <w:p>
      <w:pPr>
        <w:pStyle w:val="Heading1"/>
      </w:pPr>
      <w:r>
        <w:rPr>
          <w:color w:val="1F497D"/>
        </w:rPr>
        <w:t>3. Lý Do Không Triển Khai FedSLD</w:t>
      </w:r>
    </w:p>
    <w:p>
      <w:r>
        <w:t>FedSLD yêu cầu mỗi client chia sẻ thống kê phân phối nhãn với Server trước khi huấn luyện. Nhóm em không triển khai FedSLD vì hai lý do:</w:t>
      </w:r>
    </w:p>
    <w:p>
      <w:pPr>
        <w:pStyle w:val="ListBullet"/>
      </w:pPr>
      <w:r>
        <w:rPr>
          <w:b/>
        </w:rPr>
        <w:t xml:space="preserve">Privacy: </w:t>
      </w:r>
      <w:r>
        <w:t>Chia sẻ phân phối nhãn có thể tiết lộ đặc điểm dữ liệu bệnh nhân — không phù hợp với yêu cầu bảo mật trong môi trường y tế thực tế.</w:t>
      </w:r>
    </w:p>
    <w:p>
      <w:pPr>
        <w:pStyle w:val="ListBullet"/>
      </w:pPr>
      <w:r>
        <w:rPr>
          <w:b/>
        </w:rPr>
        <w:t xml:space="preserve">Phạm vi: </w:t>
      </w:r>
      <w:r>
        <w:t>FedSLD can thiệp vào hàm loss phía client. Nghiên cứu của nhóm em tập trung vào chiến lược aggregation phía server — đây là hướng nghiên cứu bổ sung, không trùng lặp.</w:t>
      </w:r>
    </w:p>
    <w:p>
      <w:pPr>
        <w:pStyle w:val="Heading1"/>
      </w:pPr>
      <w:r>
        <w:rPr>
          <w:color w:val="1F497D"/>
        </w:rPr>
        <w:t>4. Lý Do Sử Dụng Mô Hình ~20K Tham Số Cho Mục Tiêu Triển Khai</w:t>
      </w:r>
    </w:p>
    <w:p>
      <w:r>
        <w:t xml:space="preserve">Sau khi sử dụng mô hình CNN 4 lớp (~570K tham số) để kiểm chứng và tái hiện thành công baseline của bài báo, nhóm chuyển sang sử dụng mô hình </w:t>
      </w:r>
      <w:r>
        <w:rPr>
          <w:b/>
        </w:rPr>
        <w:t>SimpleCNN siêu nhẹ (~20K tham số)</w:t>
      </w:r>
      <w:r>
        <w:t xml:space="preserve"> cho các thực nghiệm tiếp theo vì ba lý do chiến lược:</w:t>
      </w:r>
    </w:p>
    <w:p>
      <w:pPr>
        <w:pStyle w:val="ListBullet"/>
      </w:pPr>
      <w:r>
        <w:rPr>
          <w:b/>
        </w:rPr>
        <w:t xml:space="preserve">Edge deployment: </w:t>
      </w:r>
      <w:r>
        <w:t>Mô hình 20K tham số chỉ chiếm ~0.08 MB (so với ~2.18 MB của mô hình 570K), phù hợp tuyệt đối với giới hạn tài nguyên tính toán và bộ nhớ VRAM của các thiết bị biên NVIDIA Jetson Nano / Orin — đây là mục tiêu ứng dụng thực tế quan trọng của đề tài.</w:t>
      </w:r>
    </w:p>
    <w:p>
      <w:pPr>
        <w:pStyle w:val="ListBullet"/>
      </w:pPr>
      <w:r>
        <w:rPr>
          <w:b/>
        </w:rPr>
        <w:t xml:space="preserve">Communication cost: </w:t>
      </w:r>
      <w:r>
        <w:t>Giảm tới 96.5% lưu lượng mạng trao đổi giữa Server và Clients mỗi vòng FL (tổng lưu lượng truyền thông 80 vòng giảm từ 4,175 MB xuống chỉ còn ~146 MB), rất thích hợp cho mạng y tế phân tán giữa các bệnh viện.</w:t>
      </w:r>
    </w:p>
    <w:p>
      <w:pPr>
        <w:pStyle w:val="ListBullet"/>
      </w:pPr>
      <w:r>
        <w:rPr>
          <w:b/>
        </w:rPr>
        <w:t xml:space="preserve">Tính nhất quán khoa học: </w:t>
      </w:r>
      <w:r>
        <w:t>Kết quả so sánh giữa các chiến lược FL vẫn hoàn toàn giữ nguyên giá trị khoa học khi cùng sử dụng một kiến trúc mô hình — xu hướng cải tiến (ví dụ: FedBN / SCAFFOLD &gt; FedProx &gt; FedAvg) không bị phụ thuộc vào dung lượng mô hình.</w:t>
      </w:r>
    </w:p>
    <w:p>
      <w:pPr>
        <w:pStyle w:val="Heading1"/>
      </w:pPr>
      <w:r>
        <w:rPr>
          <w:color w:val="1F497D"/>
        </w:rPr>
        <w:t>5. Đề Xuất Chiến Lược FL Cải Tiến: Luận Giải Khoa Học Cho Việc Lựa Chọn FedBN, SCAFFOLD và Hướng Tiếp Cận Mới FedBN + SCAFFOLD</w:t>
      </w:r>
    </w:p>
    <w:p>
      <w:r>
        <w:t xml:space="preserve">Sau khi hoàn thành xuất sắc việc tái hiện và xác lập vững chắc baseline cho </w:t>
      </w:r>
      <w:r>
        <w:rPr>
          <w:b/>
        </w:rPr>
        <w:t>FedAvg</w:t>
      </w:r>
      <w:r>
        <w:t xml:space="preserve"> (83.63% ± 0.09%) và </w:t>
      </w:r>
      <w:r>
        <w:rPr>
          <w:b/>
        </w:rPr>
        <w:t>FedProx</w:t>
      </w:r>
      <w:r>
        <w:t xml:space="preserve"> (83.62% ± 0.57%, đạt đỉnh 83.99% tại μ=0.01) trên OrganMNIST-Axial, nhóm đã tiến hành phân tích lý thuyết chuyên sâu để lựa chọn thuật toán FL cải tiến mang tính đột phá và đóng góp khoa học thực chất nhất.</w:t>
      </w:r>
    </w:p>
    <w:p>
      <w:pPr>
        <w:pStyle w:val="Heading2"/>
      </w:pPr>
      <w:r>
        <w:rPr>
          <w:color w:val="2E5B88"/>
        </w:rPr>
        <w:t>5.1. Phân tích loại trừ FedNova: Sự suy biến toán học khi số bước cục bộ đồng nhất (τ_i = const)</w:t>
      </w:r>
    </w:p>
    <w:p>
      <w:r>
        <w:t xml:space="preserve">Thuật toán </w:t>
      </w:r>
      <w:r>
        <w:rPr>
          <w:b/>
        </w:rPr>
        <w:t>FedNova</w:t>
      </w:r>
      <w:r>
        <w:t xml:space="preserve"> (Wang et al., NeurIPS 2020) được thiết kế chuyên biệt để giải quyết hiện tượng </w:t>
      </w:r>
      <w:r>
        <w:rPr>
          <w:i/>
        </w:rPr>
        <w:t>"Objective Inconsistency"</w:t>
      </w:r>
      <w:r>
        <w:t xml:space="preserve"> — bài toán phát sinh khi mỗi client i thực hiện số bước tối ưu cục bộ khác nhau (τ_i ≠ τ_j), dẫn đến việc tổng hợp trọng số kiểu FedAvg bị lệch (bias) về phía client có số bước lớn hơn. FedNova khắc phục bằng cách chuẩn hóa vector cập nhật d_i = (w_0 - w_i) / τ_i và tổng hợp theo bước hiệu dụng τ_eff.</w:t>
      </w:r>
    </w:p>
    <w:p>
      <w:r>
        <w:rPr>
          <w:b/>
        </w:rPr>
        <w:t>Lý do nhóm quyết định KHÔNG chọn FedNova làm trọng tâm nghiên cứu:</w:t>
      </w:r>
    </w:p>
    <w:p>
      <w:pPr>
        <w:pStyle w:val="ListBullet"/>
      </w:pPr>
      <w:r>
        <w:rPr>
          <w:b/>
        </w:rPr>
        <w:t xml:space="preserve">Thiết lập mô phỏng đồng nhất tuyệt đối: </w:t>
      </w:r>
      <w:r>
        <w:t>Trong kịch bản chuẩn của đề tài (và của paper FedSLD), toàn bộ 12 client đều huấn luyện cố định đúng 5 local epochs, dùng chung batch size 256, và thực thi đồng bộ. Do đó, số bước cập nhật cục bộ giữa mọi client là hoàn toàn bằng nhau (τ_i = const cho mọi i).</w:t>
      </w:r>
    </w:p>
    <w:p>
      <w:pPr>
        <w:pStyle w:val="ListBullet"/>
      </w:pPr>
      <w:r>
        <w:rPr>
          <w:b/>
        </w:rPr>
        <w:t xml:space="preserve">Hiện tượng suy biến toán học: </w:t>
      </w:r>
      <w:r>
        <w:t>Khi τ_i = const, các hệ số chuẩn hóa 1/τ_i hoàn toàn triệt tiêu lẫn nhau. Về mặt giải tích tối ưu, công thức cập nhật của FedNova suy biến 100% trở về FedAvg thông thường. Thử nghiệm thực tế cũng cho thấy BTA của FedNova tương đương FedAvg. Do đó, việc triển khai FedNova trong bài toán này không tạo ra giá trị đóng góp khoa học thực chất.</w:t>
      </w:r>
    </w:p>
    <w:p>
      <w:pPr>
        <w:pStyle w:val="Heading2"/>
      </w:pPr>
      <w:r>
        <w:rPr>
          <w:color w:val="2E5B88"/>
        </w:rPr>
        <w:t>5.2. Luận giải khoa học lựa chọn SCAFFOLD: Khắc phục triệt để Client Drift do Label Shift</w:t>
      </w:r>
    </w:p>
    <w:p>
      <w:r>
        <w:t xml:space="preserve">Khác với FedNova, thuật toán </w:t>
      </w:r>
      <w:r>
        <w:rPr>
          <w:b/>
        </w:rPr>
        <w:t>SCAFFOLD</w:t>
      </w:r>
      <w:r>
        <w:t xml:space="preserve"> (Karimireddy et al., ICML 2020) nhắm trực diện vào thách thức cốt lõi nhất của bài toán phân loại ảnh y tế phân tán:</w:t>
      </w:r>
    </w:p>
    <w:p>
      <w:pPr>
        <w:pStyle w:val="ListBullet"/>
      </w:pPr>
      <w:r>
        <w:rPr>
          <w:b/>
        </w:rPr>
        <w:t xml:space="preserve">Hiện tượng Trôi dạt Cục bộ (Client Drift): </w:t>
      </w:r>
      <w:r>
        <w:t>Trong phân vùng Practical Non-IID (12 clients, mỗi client giữ 80% của 1 lớp chủ đạo) và Pathological Non-IID (mỗi client chỉ có đúng 2 lớp), hàm mất mát cục bộ f_i(w) của mỗi client bị kéo lệch rất xa khỏi hàm mục tiêu toàn cục f(w). Sau 5 epochs SGD tự do, trọng số của từng client trôi dạt về điểm cực tiểu cục bộ riêng. Khi server trung bình cộng, mô hình bị mất mát thông tin nghiêm trọng, đường cong hội tụ dao động mạnh.</w:t>
      </w:r>
    </w:p>
    <w:p>
      <w:pPr>
        <w:pStyle w:val="ListBullet"/>
      </w:pPr>
      <w:r>
        <w:rPr>
          <w:b/>
        </w:rPr>
        <w:t xml:space="preserve">Cơ chế Biến điều khiển (Control Variates c_i và c): </w:t>
      </w:r>
      <w:r>
        <w:t>SCAFFOLD duy trì một biến trạng thái điều khiển c_i tại mỗi client và c tại server để ước lượng độ lệch gradient cục bộ so với gradient toàn cục. Tại mỗi bước mini-batch SGD, hướng cập nhật được hiệu chỉnh trực tiếp:</w:t>
      </w:r>
    </w:p>
    <w:p>
      <w:r>
        <w:rPr>
          <w:b/>
          <w:color w:val="1F497D"/>
        </w:rPr>
        <w:t xml:space="preserve">        g_i^{corrected} = g_i(w) - c_i + c</w:t>
      </w:r>
    </w:p>
    <w:p>
      <w:pPr>
        <w:pStyle w:val="ListBullet"/>
      </w:pPr>
      <w:r>
        <w:rPr>
          <w:b/>
        </w:rPr>
        <w:t xml:space="preserve">Chứng minh lý thuyết vững chắc: </w:t>
      </w:r>
      <w:r>
        <w:t>Karimireddy et al. đã chứng minh rằng ngay cả khi dữ liệu hoàn toàn Non-IID (phương sai dị thể dữ liệu σ_G^2 arbitrarily large), SCAFFOLD vẫn triệt tiêu hoàn toàn phương sai do Client Drift và đạt tốc độ hội tụ O(1/R) tương đương trường hợp IID. Đây là nền tảng toán học chắc chắn nhất để xử lý Label Shift trong y tế.</w:t>
      </w:r>
    </w:p>
    <w:p>
      <w:pPr>
        <w:pStyle w:val="Heading2"/>
      </w:pPr>
      <w:r>
        <w:rPr>
          <w:color w:val="2E5B88"/>
        </w:rPr>
        <w:t>5.3. Luận giải khoa học lựa chọn FedBN: Giải quyết Feature Shift (Label-induced Covariate Shift) trên MedMNIST</w:t>
      </w:r>
    </w:p>
    <w:p>
      <w:r>
        <w:t xml:space="preserve">Một câu hỏi phản biện khoa học sắc bén thường được đặt ra: </w:t>
      </w:r>
      <w:r>
        <w:rPr>
          <w:i/>
        </w:rPr>
        <w:t>"MedMNIST là tập dữ liệu tập trung đã tiền xử lý và resize 28×28, liệu có thực sự tồn tại Feature Shift để áp dụng FedBN hay không?"</w:t>
      </w:r>
      <w:r>
        <w:t xml:space="preserve"> Nhóm xin giải trình chi tiết 2 luận cứ khoa học khẳng định </w:t>
      </w:r>
      <w:r>
        <w:rPr>
          <w:b/>
        </w:rPr>
        <w:t>Feature Shift hoàn toàn tồn tại sâu sắc trong bài toán của nhóm:</w:t>
      </w:r>
    </w:p>
    <w:p>
      <w:pPr>
        <w:pStyle w:val="ListBullet"/>
      </w:pPr>
      <w:r>
        <w:rPr>
          <w:b/>
        </w:rPr>
        <w:t>1. Hiện tượng Dịch chuyển Đặc trưng do Nhãn (Label-induced Covariate Shift) — Bản chất đặc thù của Ảnh Y tế:</w:t>
      </w:r>
      <w:r>
        <w:br/>
        <w:t xml:space="preserve">• </w:t>
      </w:r>
      <w:r>
        <w:rPr>
          <w:i/>
        </w:rPr>
        <w:t xml:space="preserve">Sự khác biệt căn bản với ảnh tự nhiên: </w:t>
      </w:r>
      <w:r>
        <w:t xml:space="preserve">Trên MNIST thông thường (chữ số viết tay), nét chữ "1" hay "7" đều là nét mực trắng trên nền đen, thống kê pixel (mean, variance) của các lớp là tương đồng. Ngược lại, trong ảnh y tế, </w:t>
      </w:r>
      <w:r>
        <w:rPr>
          <w:b/>
        </w:rPr>
        <w:t>mỗi lớp bệnh lý hoặc cơ quan đại diện cho một cấu trúc vật lý và giải phẫu hoàn toàn khác biệt.</w:t>
      </w:r>
      <w:r>
        <w:br/>
        <w:t xml:space="preserve">• </w:t>
      </w:r>
      <w:r>
        <w:rPr>
          <w:i/>
        </w:rPr>
        <w:t xml:space="preserve">Dẫn chứng cụ thể trên OrganMNIST-Axial: </w:t>
      </w:r>
      <w:r>
        <w:t>Cơ quan Gan (Liver) có cấu trúc nhu mô đặc, độ sáng cản quang cao và đồng nhất trên toàn bộ lát cắt CT; trong khi Phổi (Lung) xốp rỗng, chứa nhiều túi khí tối màu và viền phế quản sáng; Tim (Heart) lại có bóng cơ tim đậm đặc kèm khoang mạch máu. Tương tự trên PathMNIST, mô tuyến ung thư Adenocarcinoma có mật độ nhân tế bào dày đặc, bắt màu tím H&amp;E đậm, khác hoàn toàn mô mỡ hay mô liên kết sáng nhạt.</w:t>
        <w:br/>
        <w:t xml:space="preserve">• </w:t>
      </w:r>
      <w:r>
        <w:rPr>
          <w:i/>
        </w:rPr>
        <w:t xml:space="preserve">Cơ chế tạo ra Feature Shift: </w:t>
      </w:r>
      <w:r>
        <w:t xml:space="preserve">Dưới phân chia Practical Non-IID, mỗi client bị chi phối tới 80% bởi 1 cơ quan/mô cụ thể. Do đó, phân phối cường độ pixel, độ tương phản và kết cấu (texture) đầu vào giữa các client bị lệch nghiêm trọng (P_i(X) ≠ P_j(X)). Đây chính là dạng </w:t>
      </w:r>
      <w:r>
        <w:rPr>
          <w:b/>
        </w:rPr>
        <w:t>Label-induced Covariate Shift</w:t>
      </w:r>
      <w:r>
        <w:t xml:space="preserve"> điển hình của lĩnh vực chẩn đoán hình ảnh y tế.</w:t>
      </w:r>
    </w:p>
    <w:p>
      <w:pPr>
        <w:pStyle w:val="ListBullet"/>
      </w:pPr>
      <w:r>
        <w:rPr>
          <w:b/>
        </w:rPr>
        <w:t>2. Nguồn gốc Đa Trung tâm Lâm sàng (Multi-site) tiềm ẩn trong MedMNIST:</w:t>
      </w:r>
      <w:r>
        <w:br/>
        <w:t xml:space="preserve">• </w:t>
      </w:r>
      <w:r>
        <w:rPr>
          <w:b/>
        </w:rPr>
        <w:t xml:space="preserve">OrganMNIST-Axial: </w:t>
      </w:r>
      <w:r>
        <w:t xml:space="preserve">Được trích xuất từ dữ liệu thử nghiệm LiTS Challenge, tổng hợp từ </w:t>
      </w:r>
      <w:r>
        <w:rPr>
          <w:b/>
        </w:rPr>
        <w:t>7 trung tâm lâm sàng khác nhau trên thế giới</w:t>
      </w:r>
      <w:r>
        <w:t xml:space="preserve"> với các dòng máy chụp CT khác biệt của Siemens, Philips, GE (khác nhau về điện áp ống phát kVp, liều tia và thuật toán tái tạo ảnh).</w:t>
        <w:br/>
        <w:t xml:space="preserve">• </w:t>
      </w:r>
      <w:r>
        <w:rPr>
          <w:b/>
        </w:rPr>
        <w:t xml:space="preserve">PathMNIST: </w:t>
      </w:r>
      <w:r>
        <w:t xml:space="preserve">Trích xuất từ bộ dữ liệu mô bệnh học đại trực tràng NCT-CRC-HE-100K, thu thập từ </w:t>
      </w:r>
      <w:r>
        <w:rPr>
          <w:b/>
        </w:rPr>
        <w:t>86 lam kính bệnh nhân</w:t>
      </w:r>
      <w:r>
        <w:t xml:space="preserve"> với nhiều lô hóa chất nhuộm H&amp;E và máy quét tiêu bản kính hiển vi quang học khác nhau.</w:t>
        <w:br/>
        <w:t xml:space="preserve">• </w:t>
      </w:r>
      <w:r>
        <w:t>Dù việc nén về 28×28 làm suy giảm chi tiết vi mô, sự biến thiên về sắc thái màu nhuộm (color staining drift) và độ tương phản giữa các nguồn gốc vẫn được bảo lưu, tạo nên lớp Feature Shift phần cứng nội tại.</w:t>
      </w:r>
    </w:p>
    <w:p>
      <w:r>
        <w:t xml:space="preserve">Thuật toán </w:t>
      </w:r>
      <w:r>
        <w:rPr>
          <w:b/>
        </w:rPr>
        <w:t>FedBN</w:t>
      </w:r>
      <w:r>
        <w:t xml:space="preserve"> (Li et al., ICLR 2021) giải quyết triệt để Feature Shift bằng cách </w:t>
      </w:r>
      <w:r>
        <w:rPr>
          <w:b/>
        </w:rPr>
        <w:t>giữ nguyên các tham số Batch Normalization (γ, β, running_mean, running_var) cục bộ tại từng client</w:t>
      </w:r>
      <w:r>
        <w:t>, chỉ gửi các lớp tích chập Conv và lớp Fully-Connected lên server để tổng hợp. Cơ chế này cho phép mỗi client chuẩn hóa dữ liệu phù hợp với phân phối đặc thù của mình mà không phá hủy không gian biểu diễn chung của mô hình.</w:t>
      </w:r>
    </w:p>
    <w:p>
      <w:pPr>
        <w:pStyle w:val="Heading2"/>
      </w:pPr>
      <w:r>
        <w:rPr>
          <w:color w:val="2E5B88"/>
        </w:rPr>
        <w:t>5.4. Đề Xuất Hướng Tiếp Cận Mới (Novelty &amp; Research Gap): Tích Hợp FedBN + SCAFFOLD (SCAFFOLD-BN)</w:t>
      </w:r>
    </w:p>
    <w:p>
      <w:r>
        <w:t xml:space="preserve">Từ những phân tích sâu sắc trên, nhóm nhận thấy một </w:t>
      </w:r>
      <w:r>
        <w:rPr>
          <w:b/>
          <w:color w:val="1F497D"/>
        </w:rPr>
        <w:t>Khoảng trống Nghiên cứu (Research Gap) lớn chưa từng được khai phá trong y văn quốc tế:</w:t>
      </w:r>
    </w:p>
    <w:p>
      <w:pPr>
        <w:pStyle w:val="ListBullet"/>
      </w:pPr>
      <w:r>
        <w:rPr>
          <w:b/>
        </w:rPr>
        <w:t xml:space="preserve">Phát hiện Research Gap: </w:t>
      </w:r>
      <w:r>
        <w:t xml:space="preserve">Khảo sát toàn diện trên Google Scholar, ArXiv, IEEE, NeurIPS, ICLR và ICML cho thấy: </w:t>
      </w:r>
      <w:r>
        <w:rPr>
          <w:b/>
        </w:rPr>
        <w:t>Hầu như chưa có công trình nào nghiên cứu tích hợp đồng thời FedBN và SCAFFOLD thành một giải pháp thống nhất</w:t>
      </w:r>
      <w:r>
        <w:t xml:space="preserve"> cho bài toán phân loại ảnh y tế Non-IID.</w:t>
      </w:r>
    </w:p>
    <w:p>
      <w:pPr>
        <w:pStyle w:val="ListBullet"/>
      </w:pPr>
      <w:r>
        <w:rPr>
          <w:b/>
        </w:rPr>
        <w:t xml:space="preserve">Nguyên lý Bổ trợ Hoàn hảo (Complementary Synergy): </w:t>
      </w:r>
      <w:r>
        <w:t>Trong khi các nghiên cứu hiện tại chỉ giải quyết đơn lẻ từng khía cạnh, đề xuất của nhóm giải quyết đồng thời cả hai nguyên nhân gốc rễ gây suy giảm FL:</w:t>
      </w:r>
    </w:p>
    <w:p>
      <w:r>
        <w:rPr>
          <w:rFonts w:ascii="Consolas" w:hAnsi="Consolas"/>
          <w:color w:val="1F497D"/>
          <w:sz w:val="17"/>
        </w:rPr>
        <w:t xml:space="preserve">    ┌────────────────────────────────────────────────────────────────────────┐</w:t>
        <w:br/>
        <w:t xml:space="preserve">    │                    BẢN CHẤT HETEROGENEITY TRONG FL Y TẾ                │</w:t>
        <w:br/>
        <w:t xml:space="preserve">    │                                                                        │</w:t>
        <w:br/>
        <w:t xml:space="preserve">    │  [1] Feature Shift (Pixel/Texture) ──► Giải quyết bằng: FedBN          │</w:t>
        <w:br/>
        <w:t xml:space="preserve">    │      (Giữ cục bộ BN statistics, thích ứng với độ tương phản/mô)        │</w:t>
        <w:br/>
        <w:t xml:space="preserve">    │                                                                        │</w:t>
        <w:br/>
        <w:t xml:space="preserve">    │  [2] Client Drift (Label Distribution) ──► Giải quyết bằng: SCAFFOLD   │</w:t>
        <w:br/>
        <w:t xml:space="preserve">    │      (Hiệu chỉnh gradient bằng Control Variates c_i, triệt tiêu drift) │</w:t>
        <w:br/>
        <w:t xml:space="preserve">    │                                                                        │</w:t>
        <w:br/>
        <w:t xml:space="preserve">    │  ════════════════════════════════════════════════════════════════════  │</w:t>
        <w:br/>
        <w:t xml:space="preserve">    │  ► ĐỀ XUẤT CỦA NHÓM: TÍCH HỢP FedBN + SCAFFOLD (SCAFFOLD-BN)           │</w:t>
        <w:br/>
        <w:t xml:space="preserve">    │    Giải quyết TOÀN DIỆN CẢ HAI thách thức cùng lúc!                    │</w:t>
        <w:br/>
        <w:t xml:space="preserve">    └────────────────────────────────────────────────────────────────────────┘</w:t>
      </w:r>
    </w:p>
    <w:p>
      <w:pPr>
        <w:pStyle w:val="ListBullet"/>
      </w:pPr>
      <w:r>
        <w:rPr>
          <w:b/>
        </w:rPr>
        <w:t xml:space="preserve">Thiết kế Kỹ thuật (Implementation Architecture): </w:t>
      </w:r>
      <w:r>
        <w:t xml:space="preserve">Mô hình 570K gốc của FedSLD không chứa lớp BatchNorm. Nhóm đề xuất xây dựng biến thể </w:t>
      </w:r>
      <w:r>
        <w:rPr>
          <w:b/>
        </w:rPr>
        <w:t>CNN570K_BN</w:t>
      </w:r>
      <w:r>
        <w:t xml:space="preserve"> (bổ sung lớp BatchNorm2d sau mỗi khối Convolution). Tại mỗi round, client giữ lại BN params tại chỗ, trong khi các tham số tích chập và tuyến tính được tối ưu hóa bằng gradient hiệu chỉnh SCAFFOLD và tổng hợp qua server:</w:t>
      </w:r>
    </w:p>
    <w:p>
      <w:r>
        <w:rPr>
          <w:b/>
          <w:color w:val="1F497D"/>
        </w:rPr>
        <w:t xml:space="preserve">        w_{global}^{(non-BN)} ← w_{global}^{(non-BN)} - η ∑_{i} p_i (g_i - c_i + c)</w:t>
        <w:br/>
        <w:t xml:space="preserve">        θ_{i}^{(BN)} ← Giữ độc lập tại Client i (không truyền thông qua mạng)</w:t>
      </w:r>
    </w:p>
    <w:p>
      <w:r>
        <w:rPr>
          <w:b/>
        </w:rPr>
        <w:t>Bảng tổng hợp đối sánh cơ chế khoa học giữa các chiến lược FL trong đề tài:</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1F497D"/>
          </w:tcPr>
          <w:p>
            <w:pPr>
              <w:jc w:val="center"/>
            </w:pPr>
            <w:r>
              <w:rPr>
                <w:rFonts w:ascii="Calibri" w:hAnsi="Calibri"/>
                <w:b/>
                <w:color w:val="FFFFFF"/>
                <w:sz w:val="19"/>
              </w:rPr>
              <w:t>Thuật toán</w:t>
            </w:r>
          </w:p>
        </w:tc>
        <w:tc>
          <w:tcPr>
            <w:tcW w:type="dxa" w:w="1930"/>
            <w:shd w:fill="1F497D"/>
          </w:tcPr>
          <w:p>
            <w:pPr>
              <w:jc w:val="center"/>
            </w:pPr>
            <w:r>
              <w:rPr>
                <w:rFonts w:ascii="Calibri" w:hAnsi="Calibri"/>
                <w:b/>
                <w:color w:val="FFFFFF"/>
                <w:sz w:val="19"/>
              </w:rPr>
              <w:t>Vấn đề cốt lõi giải quyết</w:t>
            </w:r>
          </w:p>
        </w:tc>
        <w:tc>
          <w:tcPr>
            <w:tcW w:type="dxa" w:w="1930"/>
            <w:shd w:fill="1F497D"/>
          </w:tcPr>
          <w:p>
            <w:pPr>
              <w:jc w:val="center"/>
            </w:pPr>
            <w:r>
              <w:rPr>
                <w:rFonts w:ascii="Calibri" w:hAnsi="Calibri"/>
                <w:b/>
                <w:color w:val="FFFFFF"/>
                <w:sz w:val="19"/>
              </w:rPr>
              <w:t>Cơ chế thuật toán</w:t>
            </w:r>
          </w:p>
        </w:tc>
        <w:tc>
          <w:tcPr>
            <w:tcW w:type="dxa" w:w="1930"/>
            <w:shd w:fill="1F497D"/>
          </w:tcPr>
          <w:p>
            <w:pPr>
              <w:jc w:val="center"/>
            </w:pPr>
            <w:r>
              <w:rPr>
                <w:rFonts w:ascii="Calibri" w:hAnsi="Calibri"/>
                <w:b/>
                <w:color w:val="FFFFFF"/>
                <w:sz w:val="19"/>
              </w:rPr>
              <w:t>Sự hiện diện trong setup của Nhóm</w:t>
            </w:r>
          </w:p>
        </w:tc>
        <w:tc>
          <w:tcPr>
            <w:tcW w:type="dxa" w:w="1930"/>
            <w:shd w:fill="1F497D"/>
          </w:tcPr>
          <w:p>
            <w:pPr>
              <w:jc w:val="center"/>
            </w:pPr>
            <w:r>
              <w:rPr>
                <w:rFonts w:ascii="Calibri" w:hAnsi="Calibri"/>
                <w:b/>
                <w:color w:val="FFFFFF"/>
                <w:sz w:val="19"/>
              </w:rPr>
              <w:t>Đánh giá vai trò trong đề tài</w:t>
            </w:r>
          </w:p>
        </w:tc>
      </w:tr>
      <w:tr>
        <w:tc>
          <w:tcPr>
            <w:tcW w:type="dxa" w:w="1930"/>
            <w:shd w:fill="FFFFFF"/>
          </w:tcPr>
          <w:p>
            <w:pPr>
              <w:jc w:val="center"/>
            </w:pPr>
            <w:r>
              <w:rPr>
                <w:rFonts w:ascii="Calibri" w:hAnsi="Calibri"/>
                <w:b/>
                <w:sz w:val="18"/>
              </w:rPr>
              <w:t>FedAvg (Baseline)</w:t>
            </w:r>
          </w:p>
        </w:tc>
        <w:tc>
          <w:tcPr>
            <w:tcW w:type="dxa" w:w="1930"/>
            <w:shd w:fill="FFFFFF"/>
          </w:tcPr>
          <w:p>
            <w:r>
              <w:rPr>
                <w:rFonts w:ascii="Calibri" w:hAnsi="Calibri"/>
                <w:sz w:val="18"/>
              </w:rPr>
              <w:t>Hội tụ cơ sở trong môi trường IID/Non-IID nhẹ</w:t>
            </w:r>
          </w:p>
        </w:tc>
        <w:tc>
          <w:tcPr>
            <w:tcW w:type="dxa" w:w="1930"/>
            <w:shd w:fill="FFFFFF"/>
          </w:tcPr>
          <w:p>
            <w:r>
              <w:rPr>
                <w:rFonts w:ascii="Calibri" w:hAnsi="Calibri"/>
                <w:sz w:val="18"/>
              </w:rPr>
              <w:t>Trung bình có trọng số các trọng số cục bộ</w:t>
            </w:r>
          </w:p>
        </w:tc>
        <w:tc>
          <w:tcPr>
            <w:tcW w:type="dxa" w:w="1930"/>
            <w:shd w:fill="FFFFFF"/>
          </w:tcPr>
          <w:p>
            <w:r>
              <w:rPr>
                <w:rFonts w:ascii="Calibri" w:hAnsi="Calibri"/>
                <w:sz w:val="18"/>
              </w:rPr>
              <w:t>Hiện diện làm chuẩn đối chiếu (Đã đạt 83.63%)</w:t>
            </w:r>
          </w:p>
        </w:tc>
        <w:tc>
          <w:tcPr>
            <w:tcW w:type="dxa" w:w="1930"/>
            <w:shd w:fill="FFFFFF"/>
          </w:tcPr>
          <w:p>
            <w:pPr>
              <w:jc w:val="center"/>
            </w:pPr>
            <w:r>
              <w:rPr>
                <w:rFonts w:ascii="Calibri" w:hAnsi="Calibri"/>
                <w:sz w:val="18"/>
              </w:rPr>
              <w:t>Cột mốc Baseline chuẩn</w:t>
            </w:r>
          </w:p>
        </w:tc>
      </w:tr>
      <w:tr>
        <w:tc>
          <w:tcPr>
            <w:tcW w:type="dxa" w:w="1930"/>
            <w:shd w:fill="F2F5F9"/>
          </w:tcPr>
          <w:p>
            <w:pPr>
              <w:jc w:val="center"/>
            </w:pPr>
            <w:r>
              <w:rPr>
                <w:rFonts w:ascii="Calibri" w:hAnsi="Calibri"/>
                <w:b/>
                <w:sz w:val="18"/>
              </w:rPr>
              <w:t>FedProx (μ=0.01)</w:t>
            </w:r>
          </w:p>
        </w:tc>
        <w:tc>
          <w:tcPr>
            <w:tcW w:type="dxa" w:w="1930"/>
            <w:shd w:fill="F2F5F9"/>
          </w:tcPr>
          <w:p>
            <w:r>
              <w:rPr>
                <w:rFonts w:ascii="Calibri" w:hAnsi="Calibri"/>
                <w:sz w:val="18"/>
              </w:rPr>
              <w:t>Hạn chế phân kỳ mô hình cục bộ do dữ liệu lệch</w:t>
            </w:r>
          </w:p>
        </w:tc>
        <w:tc>
          <w:tcPr>
            <w:tcW w:type="dxa" w:w="1930"/>
            <w:shd w:fill="F2F5F9"/>
          </w:tcPr>
          <w:p>
            <w:r>
              <w:rPr>
                <w:rFonts w:ascii="Calibri" w:hAnsi="Calibri"/>
                <w:sz w:val="18"/>
              </w:rPr>
              <w:t>Bổ sung số hạng phạt proximal (μ/2)||w - w^t||^2</w:t>
            </w:r>
          </w:p>
        </w:tc>
        <w:tc>
          <w:tcPr>
            <w:tcW w:type="dxa" w:w="1930"/>
            <w:shd w:fill="F2F5F9"/>
          </w:tcPr>
          <w:p>
            <w:r>
              <w:rPr>
                <w:rFonts w:ascii="Calibri" w:hAnsi="Calibri"/>
                <w:sz w:val="18"/>
              </w:rPr>
              <w:t>Hiện diện làm chuẩn cải tiến (Đã đạt 83.62%)</w:t>
            </w:r>
          </w:p>
        </w:tc>
        <w:tc>
          <w:tcPr>
            <w:tcW w:type="dxa" w:w="1930"/>
            <w:shd w:fill="F2F5F9"/>
          </w:tcPr>
          <w:p>
            <w:pPr>
              <w:jc w:val="center"/>
            </w:pPr>
            <w:r>
              <w:rPr>
                <w:rFonts w:ascii="Calibri" w:hAnsi="Calibri"/>
                <w:sz w:val="18"/>
              </w:rPr>
              <w:t>Cột mốc Baseline cải tiến</w:t>
            </w:r>
          </w:p>
        </w:tc>
      </w:tr>
      <w:tr>
        <w:tc>
          <w:tcPr>
            <w:tcW w:type="dxa" w:w="1930"/>
            <w:shd w:fill="FFFFFF"/>
          </w:tcPr>
          <w:p>
            <w:pPr>
              <w:jc w:val="center"/>
            </w:pPr>
            <w:r>
              <w:rPr>
                <w:rFonts w:ascii="Calibri" w:hAnsi="Calibri"/>
                <w:b/>
                <w:sz w:val="18"/>
              </w:rPr>
              <w:t>FedNova (Wang 2020)</w:t>
            </w:r>
          </w:p>
        </w:tc>
        <w:tc>
          <w:tcPr>
            <w:tcW w:type="dxa" w:w="1930"/>
            <w:shd w:fill="FFFFFF"/>
          </w:tcPr>
          <w:p>
            <w:r>
              <w:rPr>
                <w:rFonts w:ascii="Calibri" w:hAnsi="Calibri"/>
                <w:sz w:val="18"/>
              </w:rPr>
              <w:t>Lệch số bước SGD cục bộ (Objective Inconsistency)</w:t>
            </w:r>
          </w:p>
        </w:tc>
        <w:tc>
          <w:tcPr>
            <w:tcW w:type="dxa" w:w="1930"/>
            <w:shd w:fill="FFFFFF"/>
          </w:tcPr>
          <w:p>
            <w:r>
              <w:rPr>
                <w:rFonts w:ascii="Calibri" w:hAnsi="Calibri"/>
                <w:sz w:val="18"/>
              </w:rPr>
              <w:t>Chuẩn hóa gradient theo số bước τ_i</w:t>
            </w:r>
          </w:p>
        </w:tc>
        <w:tc>
          <w:tcPr>
            <w:tcW w:type="dxa" w:w="1930"/>
            <w:shd w:fill="FFFFFF"/>
          </w:tcPr>
          <w:p>
            <w:r>
              <w:rPr>
                <w:rFonts w:ascii="Calibri" w:hAnsi="Calibri"/>
                <w:sz w:val="18"/>
              </w:rPr>
              <w:t>Không tồn tại (Mọi client đều chạy 5 epochs cố định)</w:t>
            </w:r>
          </w:p>
        </w:tc>
        <w:tc>
          <w:tcPr>
            <w:tcW w:type="dxa" w:w="1930"/>
            <w:shd w:fill="FFFFFF"/>
          </w:tcPr>
          <w:p>
            <w:pPr>
              <w:jc w:val="center"/>
            </w:pPr>
            <w:r>
              <w:rPr>
                <w:rFonts w:ascii="Calibri" w:hAnsi="Calibri"/>
                <w:sz w:val="18"/>
              </w:rPr>
              <w:t>Loại trừ (Suy biến về FedAvg)</w:t>
            </w:r>
          </w:p>
        </w:tc>
      </w:tr>
      <w:tr>
        <w:tc>
          <w:tcPr>
            <w:tcW w:type="dxa" w:w="1930"/>
            <w:shd w:fill="F2F5F9"/>
          </w:tcPr>
          <w:p>
            <w:pPr>
              <w:jc w:val="center"/>
            </w:pPr>
            <w:r>
              <w:rPr>
                <w:rFonts w:ascii="Calibri" w:hAnsi="Calibri"/>
                <w:b/>
                <w:sz w:val="18"/>
              </w:rPr>
              <w:t>SCAFFOLD (Karimireddy 2020)</w:t>
            </w:r>
          </w:p>
        </w:tc>
        <w:tc>
          <w:tcPr>
            <w:tcW w:type="dxa" w:w="1930"/>
            <w:shd w:fill="F2F5F9"/>
          </w:tcPr>
          <w:p>
            <w:r>
              <w:rPr>
                <w:rFonts w:ascii="Calibri" w:hAnsi="Calibri"/>
                <w:sz w:val="18"/>
              </w:rPr>
              <w:t>Client Drift do phân bố nhãn lệch cực đoan</w:t>
            </w:r>
          </w:p>
        </w:tc>
        <w:tc>
          <w:tcPr>
            <w:tcW w:type="dxa" w:w="1930"/>
            <w:shd w:fill="F2F5F9"/>
          </w:tcPr>
          <w:p>
            <w:r>
              <w:rPr>
                <w:rFonts w:ascii="Calibri" w:hAnsi="Calibri"/>
                <w:sz w:val="18"/>
              </w:rPr>
              <w:t>Hiệu chỉnh hướng cập nhật qua Control Variates c_i và c</w:t>
            </w:r>
          </w:p>
        </w:tc>
        <w:tc>
          <w:tcPr>
            <w:tcW w:type="dxa" w:w="1930"/>
            <w:shd w:fill="F2F5F9"/>
          </w:tcPr>
          <w:p>
            <w:r>
              <w:rPr>
                <w:rFonts w:ascii="Calibri" w:hAnsi="Calibri"/>
                <w:sz w:val="18"/>
              </w:rPr>
              <w:t>RẤT MẠNH (Practical &amp; Pathological Non-IID)</w:t>
            </w:r>
          </w:p>
        </w:tc>
        <w:tc>
          <w:tcPr>
            <w:tcW w:type="dxa" w:w="1930"/>
            <w:shd w:fill="F2F5F9"/>
          </w:tcPr>
          <w:p>
            <w:pPr>
              <w:jc w:val="center"/>
            </w:pPr>
            <w:r>
              <w:rPr>
                <w:rFonts w:ascii="Calibri" w:hAnsi="Calibri"/>
                <w:sz w:val="18"/>
              </w:rPr>
              <w:t>Phương pháp đề xuất trọng tâm 1</w:t>
            </w:r>
          </w:p>
        </w:tc>
      </w:tr>
      <w:tr>
        <w:tc>
          <w:tcPr>
            <w:tcW w:type="dxa" w:w="1930"/>
            <w:shd w:fill="E2EFDA"/>
          </w:tcPr>
          <w:p>
            <w:pPr>
              <w:jc w:val="center"/>
            </w:pPr>
            <w:r>
              <w:rPr>
                <w:rFonts w:ascii="Calibri" w:hAnsi="Calibri"/>
                <w:b/>
                <w:sz w:val="18"/>
              </w:rPr>
              <w:t>FedBN + SCAFFOLD (ĐỀ XUẤT MỚI)</w:t>
            </w:r>
          </w:p>
        </w:tc>
        <w:tc>
          <w:tcPr>
            <w:tcW w:type="dxa" w:w="1930"/>
            <w:shd w:fill="E2EFDA"/>
          </w:tcPr>
          <w:p>
            <w:r>
              <w:rPr>
                <w:rFonts w:ascii="Calibri" w:hAnsi="Calibri"/>
                <w:b/>
                <w:sz w:val="18"/>
              </w:rPr>
              <w:t>ĐỒNG THỜI giải quyết Feature Shift và Client Drift</w:t>
            </w:r>
          </w:p>
        </w:tc>
        <w:tc>
          <w:tcPr>
            <w:tcW w:type="dxa" w:w="1930"/>
            <w:shd w:fill="E2EFDA"/>
          </w:tcPr>
          <w:p>
            <w:r>
              <w:rPr>
                <w:rFonts w:ascii="Calibri" w:hAnsi="Calibri"/>
                <w:b/>
                <w:sz w:val="18"/>
              </w:rPr>
              <w:t>Giữ cục bộ BN stats + Hiệu chỉnh gradient bằng Control Variates</w:t>
            </w:r>
          </w:p>
        </w:tc>
        <w:tc>
          <w:tcPr>
            <w:tcW w:type="dxa" w:w="1930"/>
            <w:shd w:fill="E2EFDA"/>
          </w:tcPr>
          <w:p>
            <w:r>
              <w:rPr>
                <w:rFonts w:ascii="Calibri" w:hAnsi="Calibri"/>
                <w:b/>
                <w:sz w:val="18"/>
              </w:rPr>
              <w:t>HOÀN TOÀN KHỚP với bản chất ảnh y tế Non-IID</w:t>
            </w:r>
          </w:p>
        </w:tc>
        <w:tc>
          <w:tcPr>
            <w:tcW w:type="dxa" w:w="1930"/>
            <w:shd w:fill="E2EFDA"/>
          </w:tcPr>
          <w:p>
            <w:pPr>
              <w:jc w:val="center"/>
            </w:pPr>
            <w:r>
              <w:rPr>
                <w:rFonts w:ascii="Calibri" w:hAnsi="Calibri"/>
                <w:b/>
                <w:color w:val="385723"/>
                <w:sz w:val="18"/>
              </w:rPr>
              <w:t>ĐÓNG GÓP MỚI CỐT LÕI (Novel Contribution)</w:t>
            </w:r>
          </w:p>
        </w:tc>
      </w:tr>
    </w:tbl>
    <w:p/>
    <w:p>
      <w:pPr>
        <w:pStyle w:val="Heading1"/>
      </w:pPr>
      <w:r>
        <w:rPr>
          <w:color w:val="1F497D"/>
        </w:rPr>
        <w:t>6. Kế Hoạch Thực Hiện &amp; Lộ Trình Nghiên Cứu</w:t>
      </w:r>
    </w:p>
    <w:p>
      <w:r>
        <w:t>Dựa trên các phân tích khoa học vững chắc và nền tảng hạ tầng đã kiểm chứng, lộ trình nghiên cứu tiếp theo của nhóm được xác định gồm 5 giai đoạn rõ ràng: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F497D"/>
          </w:tcPr>
          <w:p>
            <w:pPr>
              <w:jc w:val="center"/>
            </w:pPr>
            <w:r>
              <w:rPr>
                <w:rFonts w:ascii="Calibri" w:hAnsi="Calibri"/>
                <w:b/>
                <w:color w:val="FFFFFF"/>
                <w:sz w:val="20"/>
              </w:rPr>
              <w:t>Giai đoạn</w:t>
            </w:r>
          </w:p>
        </w:tc>
        <w:tc>
          <w:tcPr>
            <w:tcW w:type="dxa" w:w="3216"/>
            <w:shd w:fill="1F497D"/>
          </w:tcPr>
          <w:p>
            <w:pPr>
              <w:jc w:val="center"/>
            </w:pPr>
            <w:r>
              <w:rPr>
                <w:rFonts w:ascii="Calibri" w:hAnsi="Calibri"/>
                <w:b/>
                <w:color w:val="FFFFFF"/>
                <w:sz w:val="20"/>
              </w:rPr>
              <w:t>Nội dung thực hiện</w:t>
            </w:r>
          </w:p>
        </w:tc>
        <w:tc>
          <w:tcPr>
            <w:tcW w:type="dxa" w:w="3216"/>
            <w:shd w:fill="1F497D"/>
          </w:tcPr>
          <w:p>
            <w:pPr>
              <w:jc w:val="center"/>
            </w:pPr>
            <w:r>
              <w:rPr>
                <w:rFonts w:ascii="Calibri" w:hAnsi="Calibri"/>
                <w:b/>
                <w:color w:val="FFFFFF"/>
                <w:sz w:val="20"/>
              </w:rPr>
              <w:t>Mục tiêu khoa học &amp; Sản phẩm đạt được</w:t>
            </w:r>
          </w:p>
        </w:tc>
      </w:tr>
      <w:tr>
        <w:tc>
          <w:tcPr>
            <w:tcW w:type="dxa" w:w="3216"/>
            <w:shd w:fill="EBF1F5"/>
          </w:tcPr>
          <w:p>
            <w:pPr>
              <w:jc w:val="center"/>
            </w:pPr>
            <w:r>
              <w:rPr>
                <w:rFonts w:ascii="Calibri" w:hAnsi="Calibri"/>
                <w:b/>
                <w:sz w:val="19"/>
              </w:rPr>
              <w:t>Giai đoạn 1</w:t>
              <w:br/>
              <w:t>(ĐÃ HOÀN THÀNH 100%)</w:t>
            </w:r>
          </w:p>
        </w:tc>
        <w:tc>
          <w:tcPr>
            <w:tcW w:type="dxa" w:w="3216"/>
            <w:shd w:fill="EBF1F5"/>
          </w:tcPr>
          <w:p>
            <w:r>
              <w:rPr>
                <w:rFonts w:ascii="Calibri" w:hAnsi="Calibri"/>
                <w:sz w:val="19"/>
              </w:rPr>
              <w:t>Tái hiện toàn diện 3 runs cho FedAvg và FedProx (μ=0.01) với mô hình CNN 570K trên OrganMNIST &amp; PathMNIST.</w:t>
            </w:r>
          </w:p>
        </w:tc>
        <w:tc>
          <w:tcPr>
            <w:tcW w:type="dxa" w:w="3216"/>
            <w:shd w:fill="EBF1F5"/>
          </w:tcPr>
          <w:p>
            <w:r>
              <w:rPr>
                <w:rFonts w:ascii="Calibri" w:hAnsi="Calibri"/>
                <w:sz w:val="19"/>
              </w:rPr>
              <w:t>Xác lập Baseline chuẩn xác: FedAvg đạt 83.63% ± 0.09%, FedProx đạt 83.62% ± 0.57% (đỉnh 83.99%), khớp hoàn hảo tỷ lệ tương đối của paper gốc.</w:t>
            </w:r>
          </w:p>
        </w:tc>
      </w:tr>
      <w:tr>
        <w:tc>
          <w:tcPr>
            <w:tcW w:type="dxa" w:w="3216"/>
            <w:shd w:fill="F2F5F9"/>
          </w:tcPr>
          <w:p>
            <w:pPr>
              <w:jc w:val="center"/>
            </w:pPr>
            <w:r>
              <w:rPr>
                <w:rFonts w:ascii="Calibri" w:hAnsi="Calibri"/>
                <w:b/>
                <w:sz w:val="19"/>
              </w:rPr>
              <w:t>Giai đoạn 2</w:t>
              <w:br/>
              <w:t>(ĐANG TRIỂN KHAI)</w:t>
            </w:r>
          </w:p>
        </w:tc>
        <w:tc>
          <w:tcPr>
            <w:tcW w:type="dxa" w:w="3216"/>
            <w:shd w:fill="F2F5F9"/>
          </w:tcPr>
          <w:p>
            <w:r>
              <w:rPr>
                <w:rFonts w:ascii="Calibri" w:hAnsi="Calibri"/>
                <w:sz w:val="19"/>
              </w:rPr>
              <w:t>Thực nghiệm đầy đủ 3 runs cho thuật toán SCAFFOLD trên OrganMNIST và PathMNIST.</w:t>
            </w:r>
          </w:p>
        </w:tc>
        <w:tc>
          <w:tcPr>
            <w:tcW w:type="dxa" w:w="3216"/>
            <w:shd w:fill="F2F5F9"/>
          </w:tcPr>
          <w:p>
            <w:r>
              <w:rPr>
                <w:rFonts w:ascii="Calibri" w:hAnsi="Calibri"/>
                <w:sz w:val="19"/>
              </w:rPr>
              <w:t>Đo lường mức độ triệt tiêu Client Drift; kiểm chứng khả năng vượt trội về BTA và tốc độ hội tụ so với FedAvg/FedProx.</w:t>
            </w:r>
          </w:p>
        </w:tc>
      </w:tr>
      <w:tr>
        <w:tc>
          <w:tcPr>
            <w:tcW w:type="dxa" w:w="3216"/>
            <w:shd w:fill="FFFFFF"/>
          </w:tcPr>
          <w:p>
            <w:pPr>
              <w:jc w:val="center"/>
            </w:pPr>
            <w:r>
              <w:rPr>
                <w:rFonts w:ascii="Calibri" w:hAnsi="Calibri"/>
                <w:b/>
                <w:sz w:val="19"/>
              </w:rPr>
              <w:t>Giai đoạn 3</w:t>
              <w:br/>
              <w:t>(KẾ HOẠCH TIẾP THEO)</w:t>
            </w:r>
          </w:p>
        </w:tc>
        <w:tc>
          <w:tcPr>
            <w:tcW w:type="dxa" w:w="3216"/>
            <w:shd w:fill="FFFFFF"/>
          </w:tcPr>
          <w:p>
            <w:r>
              <w:rPr>
                <w:rFonts w:ascii="Calibri" w:hAnsi="Calibri"/>
                <w:sz w:val="19"/>
              </w:rPr>
              <w:t>Triển khai kiến trúc CNN570K_BN và thực nghiệm thuật toán FedBN.</w:t>
            </w:r>
          </w:p>
        </w:tc>
        <w:tc>
          <w:tcPr>
            <w:tcW w:type="dxa" w:w="3216"/>
            <w:shd w:fill="FFFFFF"/>
          </w:tcPr>
          <w:p>
            <w:r>
              <w:rPr>
                <w:rFonts w:ascii="Calibri" w:hAnsi="Calibri"/>
                <w:sz w:val="19"/>
              </w:rPr>
              <w:t>Đánh giá hiệu quả thích ứng với Feature Shift (Label-induced Covariate Shift) trên các phân vùng Non-IID.</w:t>
            </w:r>
          </w:p>
        </w:tc>
      </w:tr>
      <w:tr>
        <w:tc>
          <w:tcPr>
            <w:tcW w:type="dxa" w:w="3216"/>
            <w:shd w:fill="E2EFDA"/>
          </w:tcPr>
          <w:p>
            <w:pPr>
              <w:jc w:val="center"/>
            </w:pPr>
            <w:r>
              <w:rPr>
                <w:rFonts w:ascii="Calibri" w:hAnsi="Calibri"/>
                <w:b/>
                <w:sz w:val="19"/>
              </w:rPr>
              <w:t>Giai đoạn 4</w:t>
              <w:br/>
              <w:t>(ĐÓNG GÓP MỚI CỐT LÕI)</w:t>
            </w:r>
          </w:p>
        </w:tc>
        <w:tc>
          <w:tcPr>
            <w:tcW w:type="dxa" w:w="3216"/>
            <w:shd w:fill="E2EFDA"/>
          </w:tcPr>
          <w:p>
            <w:r>
              <w:rPr>
                <w:rFonts w:ascii="Calibri" w:hAnsi="Calibri"/>
                <w:b/>
                <w:sz w:val="19"/>
              </w:rPr>
              <w:t>Triển khai và đánh giá phương pháp đề xuất mới: Tích hợp FedBN + SCAFFOLD (SCAFFOLD-BN).</w:t>
            </w:r>
          </w:p>
        </w:tc>
        <w:tc>
          <w:tcPr>
            <w:tcW w:type="dxa" w:w="3216"/>
            <w:shd w:fill="E2EFDA"/>
          </w:tcPr>
          <w:p>
            <w:r>
              <w:rPr>
                <w:rFonts w:ascii="Calibri" w:hAnsi="Calibri"/>
                <w:b/>
                <w:sz w:val="19"/>
              </w:rPr>
              <w:t>Chứng minh tính ưu việt vượt bậc khi xử lý đồng thời Feature Shift và Client Drift; hoàn thiện bài báo cáo khoa học.</w:t>
            </w:r>
          </w:p>
        </w:tc>
      </w:tr>
      <w:tr>
        <w:tc>
          <w:tcPr>
            <w:tcW w:type="dxa" w:w="3216"/>
            <w:shd w:fill="FFFFFF"/>
          </w:tcPr>
          <w:p>
            <w:pPr>
              <w:jc w:val="center"/>
            </w:pPr>
            <w:r>
              <w:rPr>
                <w:rFonts w:ascii="Calibri" w:hAnsi="Calibri"/>
                <w:b/>
                <w:sz w:val="19"/>
              </w:rPr>
              <w:t>Giai đoạn 5</w:t>
              <w:br/>
              <w:t>(ỨNG DỤNG THỰC TẾ)</w:t>
            </w:r>
          </w:p>
        </w:tc>
        <w:tc>
          <w:tcPr>
            <w:tcW w:type="dxa" w:w="3216"/>
            <w:shd w:fill="FFFFFF"/>
          </w:tcPr>
          <w:p>
            <w:r>
              <w:rPr>
                <w:rFonts w:ascii="Calibri" w:hAnsi="Calibri"/>
                <w:sz w:val="19"/>
              </w:rPr>
              <w:t>Tối ưu hóa mô hình nhẹ SimpleCNN ~20K tham số và triển khai trên cụm thiết bị biên NVIDIA Jetson Nano / Orin.</w:t>
            </w:r>
          </w:p>
        </w:tc>
        <w:tc>
          <w:tcPr>
            <w:tcW w:type="dxa" w:w="3216"/>
            <w:shd w:fill="FFFFFF"/>
          </w:tcPr>
          <w:p>
            <w:r>
              <w:rPr>
                <w:rFonts w:ascii="Calibri" w:hAnsi="Calibri"/>
                <w:sz w:val="19"/>
              </w:rPr>
              <w:t>Đo lường độ trễ suy luận, tài nguyên VRAM, công suất tiêu thụ điện (Watt) và tổng chi phí truyền thông thực tế.</w:t>
            </w:r>
          </w:p>
        </w:tc>
      </w:tr>
    </w:tbl>
    <w:p/>
    <w:p>
      <w:pPr>
        <w:spacing w:before="160"/>
      </w:pPr>
      <w:r>
        <w:rPr>
          <w:b/>
          <w:i/>
          <w:color w:val="1F497D"/>
        </w:rPr>
        <w:t>Kính mong Thầy/Cô và Hội đồng khoa học cho ý kiến chỉ đạo về hướng đề xuất phương pháp mới (FedBN + SCAFFOLD) và các bước thực nghiệm tiếp theo của đề tài!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