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color w:val="1F497D"/>
          <w:sz w:val="31"/>
        </w:rPr>
        <w:t>REVIEW 2: FEDERATED LEARNING TAXONOMY &amp; PLATFORM SELECTION</w:t>
      </w:r>
    </w:p>
    <w:p>
      <w:pPr>
        <w:spacing w:after="240"/>
        <w:jc w:val="center"/>
      </w:pPr>
      <w:r>
        <w:rPr>
          <w:rFonts w:ascii="Calibri" w:hAnsi="Calibri"/>
          <w:i/>
          <w:color w:val="595959"/>
          <w:sz w:val="22"/>
        </w:rPr>
        <w:t>Slide-Ready Academic Synthesis Document</w:t>
        <w:br/>
        <w:t>Directly referenced from: "Advances and Open Problems in Federated Learning" (Kairouz et al., 2021)</w:t>
      </w:r>
    </w:p>
    <w:p>
      <w:pPr>
        <w:pStyle w:val="Heading1"/>
      </w:pPr>
      <w:r>
        <w:rPr>
          <w:rFonts w:ascii="Calibri" w:hAnsi="Calibri"/>
          <w:color w:val="1F497D"/>
        </w:rPr>
        <w:t>1. Multi-Dimensional Taxonomy of Existing FL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F497D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F497D"/>
                <w:sz w:val="22"/>
              </w:rPr>
              <w:t>📌 1.1. ARCHITECTURE &amp; TOPOLOGY: CENTRALIZED FL VS. DECENTRALIZED FL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Centralized FL (Server–Client / Hub-and-Spoke): </w:t>
            </w:r>
            <w:r>
              <w:rPr>
                <w:rFonts w:ascii="Calibri" w:hAnsi="Calibri"/>
                <w:color w:val="222222"/>
                <w:sz w:val="19"/>
              </w:rPr>
              <w:t>Coordinated by a central server (Parameter Server): handles global model distribution, client selection, and weight aggregation (e.g., FedAvg). Advantages: Fast empirical convergence, simple governance, easy security verification and parameter synchronization. Limitations: Single Point of Failure (SPoF) and server bandwidth bottleneck.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Decentralized FL (Peer-to-Peer / Gossip-based): </w:t>
            </w:r>
            <w:r>
              <w:rPr>
                <w:rFonts w:ascii="Calibri" w:hAnsi="Calibri"/>
                <w:color w:val="222222"/>
                <w:sz w:val="19"/>
              </w:rPr>
              <w:t>No central coordinator. Clients communicate directly with topological neighbors via graph consensus protocols. Advantages: Completely eliminates SPoF, maximizes organizational autonomy. Limitations: Slower convergence rate, high peer-to-peer communication overhead, complex verification.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Clinical Application: </w:t>
            </w:r>
            <w:r>
              <w:rPr>
                <w:rFonts w:ascii="Calibri" w:hAnsi="Calibri"/>
                <w:color w:val="222222"/>
                <w:sz w:val="19"/>
              </w:rPr>
              <w:t>Cross-hospital healthcare federations predominantly employ Centralized FL with Secure Aggregation protocols to satisfy institutional compliance and clinical governance.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F497D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F497D"/>
                <w:sz w:val="22"/>
              </w:rPr>
              <w:t>📌 1.2. DEPLOYMENT SCALE: CROSS-SILO FL VS. CROSS-DEVICE FL (TABLE 1 - KAIROUZ ET AL.)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Cross-Silo FL (Inter-Institutional / Hospital Setting): </w:t>
            </w:r>
            <w:r>
              <w:rPr>
                <w:rFonts w:ascii="Calibri" w:hAnsi="Calibri"/>
                <w:color w:val="222222"/>
                <w:sz w:val="19"/>
              </w:rPr>
              <w:t>Scale: 2 – 100 organizations/hospitals/datacenters. Hardware: High-performance workstations, clinical-grade GPUs, large memory. Network: High-bandwidth, reliable WAN. Availability: Almost 100% online across all rounds (Stateful clients). Partitioning: Horizontal (sample-partitioned) or Vertical (feature-partitioned).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Cross-Device / Edge FL (Massive Mobile / IoT Setting): </w:t>
            </w:r>
            <w:r>
              <w:rPr>
                <w:rFonts w:ascii="Calibri" w:hAnsi="Calibri"/>
                <w:color w:val="222222"/>
                <w:sz w:val="19"/>
              </w:rPr>
              <w:t>Scale: Millions of consumer mobile or IoT edge devices. Hardware: Resource-constrained (battery, compute, RAM). Network: Intermittent Wi-Fi/cellular. Availability: &lt;1% active per round with high drop-out rates (Stateless clients).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FedMedAI Project Positioning: </w:t>
            </w:r>
            <w:r>
              <w:rPr>
                <w:rFonts w:ascii="Calibri" w:hAnsi="Calibri"/>
                <w:color w:val="222222"/>
                <w:sz w:val="19"/>
              </w:rPr>
              <w:t>Our thesis is primarily designed for Cross-Silo Medical FL (inter-hospital collaborative learning) with native extensibility toward Edge Medical FL (embedded edge workstations / NVIDIA Jetson).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none"/>
          <w:bottom w:val="single" w:sz="4" w:space="0" w:color="B0C4DE"/>
          <w:right w:val="none"/>
          <w:insideH w:val="single" w:sz="4" w:space="0" w:color="B0C4D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Comparison Criteria</w:t>
            </w:r>
          </w:p>
        </w:tc>
        <w:tc>
          <w:tcPr>
            <w:tcW w:type="dxa" w:w="3264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Cross-Silo FL (FedMedAI Setting)</w:t>
            </w:r>
          </w:p>
        </w:tc>
        <w:tc>
          <w:tcPr>
            <w:tcW w:type="dxa" w:w="3264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Cross-Device / Edge FL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F497D"/>
                <w:sz w:val="17"/>
              </w:rPr>
              <w:t>Participating Clients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7"/>
              </w:rPr>
              <w:t>2 – 100 Hospitals / Research Centers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7"/>
              </w:rPr>
              <w:t>Millions of mobile / IoT devices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shd w:fill="F7F9FB"/>
          </w:tcPr>
          <w:p>
            <w:r>
              <w:rPr>
                <w:rFonts w:ascii="Calibri" w:hAnsi="Calibri"/>
                <w:b/>
                <w:color w:val="1F497D"/>
                <w:sz w:val="17"/>
              </w:rPr>
              <w:t>Compute Resources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shd w:fill="F7F9FB"/>
          </w:tcPr>
          <w:p>
            <w:r>
              <w:rPr>
                <w:rFonts w:ascii="Calibri" w:hAnsi="Calibri"/>
                <w:sz w:val="17"/>
              </w:rPr>
              <w:t>High-performance servers, medical GPUs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shd w:fill="F7F9FB"/>
          </w:tcPr>
          <w:p>
            <w:r>
              <w:rPr>
                <w:rFonts w:ascii="Calibri" w:hAnsi="Calibri"/>
                <w:sz w:val="17"/>
              </w:rPr>
              <w:t>Low-power mobile chips (battery/RAM constraints)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F497D"/>
                <w:sz w:val="17"/>
              </w:rPr>
              <w:t>Client Availability &amp; State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7"/>
              </w:rPr>
              <w:t>Nearly 100% online, stateful across rounds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7"/>
              </w:rPr>
              <w:t>&lt;1% selected per round, high dropout (stateless)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shd w:fill="F7F9FB"/>
          </w:tcPr>
          <w:p>
            <w:r>
              <w:rPr>
                <w:rFonts w:ascii="Calibri" w:hAnsi="Calibri"/>
                <w:b/>
                <w:color w:val="1F497D"/>
                <w:sz w:val="17"/>
              </w:rPr>
              <w:t>Primary Bottleneck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shd w:fill="F7F9FB"/>
          </w:tcPr>
          <w:p>
            <w:r>
              <w:rPr>
                <w:rFonts w:ascii="Calibri" w:hAnsi="Calibri"/>
                <w:sz w:val="17"/>
              </w:rPr>
              <w:t>Computation &amp; regulatory verification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  <w:shd w:fill="F7F9FB"/>
          </w:tcPr>
          <w:p>
            <w:r>
              <w:rPr>
                <w:rFonts w:ascii="Calibri" w:hAnsi="Calibri"/>
                <w:sz w:val="17"/>
              </w:rPr>
              <w:t>Communication bandwidth (network latency)</w:t>
            </w:r>
          </w:p>
        </w:tc>
      </w:tr>
      <w:tr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F497D"/>
                <w:sz w:val="17"/>
              </w:rPr>
              <w:t>Application Objective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7"/>
              </w:rPr>
              <w:t>High-precision clinical diagnostic AI</w:t>
            </w:r>
          </w:p>
        </w:tc>
        <w:tc>
          <w:tcPr>
            <w:tcW w:type="dxa" w:w="326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7"/>
              </w:rPr>
              <w:t>Next-word prediction, consumer recommendations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F497D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F497D"/>
                <w:sz w:val="22"/>
              </w:rPr>
              <w:t>📌 1.3. DATA PARTITIONING: NON-IID REGIMES IN HEALTHCARE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1. Disease Prevalence Imbalance (Label Distribution Skew): </w:t>
            </w:r>
            <w:r>
              <w:rPr>
                <w:rFonts w:ascii="Calibri" w:hAnsi="Calibri"/>
                <w:color w:val="222222"/>
                <w:sz w:val="19"/>
              </w:rPr>
              <w:t>The proportion of disease categories varies substantially across clinical sites. Clinical example: An Oncology Hospital sees predominantly malignant tumor cases, whereas a General Community Clinic sees mostly benign, routine conditions and very few tumors.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2. Imaging Variation Across Scanners (Feature Distribution Skew / Scanner Bias): </w:t>
            </w:r>
            <w:r>
              <w:rPr>
                <w:rFonts w:ascii="Calibri" w:hAnsi="Calibri"/>
                <w:color w:val="222222"/>
                <w:sz w:val="19"/>
              </w:rPr>
              <w:t>The exact same disease pathology produces divergent image intensity, contrast, and noise levels due to hardware differences across scanner vendors (Siemens, GE, Philips).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3. Diagnostic and Manifestation Variations (Concept Drift): </w:t>
            </w:r>
            <w:r>
              <w:rPr>
                <w:rFonts w:ascii="Calibri" w:hAnsi="Calibri"/>
                <w:color w:val="222222"/>
                <w:sz w:val="19"/>
              </w:rPr>
              <w:t>• Same disease, differing appearance: Identical pneumonia shows markedly different radiographic patterns in pediatric vs. geriatric cohorts.</w:t>
              <w:br/>
              <w:t>• Same appearance, differing diagnosis: Identical tissue morphology evaluated under differing diagnostic threshold guidelines across regional healthcare systems.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4. Patient Volume Imbalance (Quantity Skew): </w:t>
            </w:r>
            <w:r>
              <w:rPr>
                <w:rFonts w:ascii="Calibri" w:hAnsi="Calibri"/>
                <w:color w:val="222222"/>
                <w:sz w:val="19"/>
              </w:rPr>
              <w:t>Clinical data volume differs by orders of magnitude: Major central university hospitals hold hundreds of thousands of cases, while local community clinics hold only dozens.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5. Data Partitioning in the FedMedAI Project: </w:t>
            </w:r>
            <w:r>
              <w:rPr>
                <w:rFonts w:ascii="Calibri" w:hAnsi="Calibri"/>
                <w:color w:val="222222"/>
                <w:sz w:val="19"/>
              </w:rPr>
              <w:t>• Standardized Benchmarks: Primary validation on OrganMNIST-Axial (11 abdominal organ CT classes, 58K images); extensible to and benchmarked against BloodMNIST (8 blood cell types) and DermaMNIST (7 skin lesion classes).</w:t>
              <w:br/>
              <w:t>• Targeted Non-IID Regime: Directly engineered to resolve Disease Prevalence Imbalance (Label Distribution Skew) — the primary multi-center clinical barrier addressed by our investigated strategy (FedSLD via shared label distributions and classification calibration).</w:t>
              <w:br/>
              <w:t>• Empirical Scenarios (12 Hospitals / Clients):</w:t>
              <w:br/>
              <w:t xml:space="preserve">   - Practical Scenario (Practical Non-IID): Simulates multi-specialty general hospitals treating multiple diseases with highly unbalanced disease prevalence.</w:t>
              <w:br/>
              <w:t xml:space="preserve">   - Extreme Sub-specialty Scenario (Pathological Non-IID): Each clinic only manages 1 or 2 restricted disease classes, pushing algorithmic stability against Client Drift to its limits.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497D"/>
        </w:rPr>
        <w:t>2. Algorithmic Systems &amp; Optimization Paradigms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8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78D7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F497D"/>
                <w:sz w:val="22"/>
              </w:rPr>
              <w:t>📌 BRANCH 1 — MITIGATING CLIENT DRIFT &amp; LABEL SKEW (SERVER-CENTRIC / GLOBAL OPTIMIZATION)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Architecture &amp; Philosophy: </w:t>
            </w:r>
            <w:r>
              <w:rPr>
                <w:rFonts w:ascii="Calibri" w:hAnsi="Calibri"/>
                <w:color w:val="222222"/>
                <w:sz w:val="19"/>
              </w:rPr>
              <w:t>The fundamental objective is to train a SINGLE GLOBAL CONSENSUS MODEL. Consequently, the primary optimization locus resides on the SERVER (Global-side): The server leverages its global vantage point to orchestrate parameter updates, eliminate Client Drift, normalize aggregated weights, or broadcast global distribution priors.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FedAvg (McMahan et al., 2017): </w:t>
            </w:r>
            <w:r>
              <w:rPr>
                <w:rFonts w:ascii="Calibri" w:hAnsi="Calibri"/>
                <w:color w:val="222222"/>
                <w:sz w:val="19"/>
              </w:rPr>
              <w:t>Classical baseline: Server executes sample-weighted parameter averaging. Prone to severe drift under high Non-IID skew.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FedProx (Li et al., 2020): </w:t>
            </w:r>
            <w:r>
              <w:rPr>
                <w:rFonts w:ascii="Calibri" w:hAnsi="Calibri"/>
                <w:color w:val="222222"/>
                <w:sz w:val="19"/>
              </w:rPr>
              <w:t>Introduces a proximal regularization term: restricts local model updates from straying too far from the global server parameters; tolerates system stragglers.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SCAFFOLD (Karimireddy et al., 2020): </w:t>
            </w:r>
            <w:r>
              <w:rPr>
                <w:rFonts w:ascii="Calibri" w:hAnsi="Calibri"/>
                <w:color w:val="222222"/>
                <w:sz w:val="19"/>
              </w:rPr>
              <w:t>Server maintains and updates Global Control Variates to explicitly estimate drift directions and correct client gradient paths.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FedNova (Wang et al., 2020): </w:t>
            </w:r>
            <w:r>
              <w:rPr>
                <w:rFonts w:ascii="Calibri" w:hAnsi="Calibri"/>
                <w:color w:val="222222"/>
                <w:sz w:val="19"/>
              </w:rPr>
              <w:t>Server normalizes and rescales aggregation weights based on each client's actual computational steps, avoiding bias toward clients executing more local epochs.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Server Momentum &amp; Adaptive FL (FedAvgM, FedAdam): </w:t>
            </w:r>
            <w:r>
              <w:rPr>
                <w:rFonts w:ascii="Calibri" w:hAnsi="Calibri"/>
                <w:color w:val="222222"/>
                <w:sz w:val="19"/>
              </w:rPr>
              <w:t>Server treats aggregated client updates as a pseudo-gradient, optimizing the global update trajectory with momentum and adaptive learning rates.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FedSLD (Luo &amp; Wu, ISBI 2022 - Project Reference): </w:t>
            </w:r>
            <w:r>
              <w:rPr>
                <w:rFonts w:ascii="Calibri" w:hAnsi="Calibri"/>
                <w:color w:val="222222"/>
                <w:sz w:val="19"/>
              </w:rPr>
              <w:t>Server aggregates client class frequencies into a Shared Label Distribution and broadcasts it back to calibrate local loss functions (Logit Adjustment), thoroughly resolving multi-center label skew.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AF6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1F497D"/>
                <w:sz w:val="22"/>
              </w:rPr>
              <w:t>📌 BRANCH 2 — HANDLING SCANNER BIAS &amp; PERSONALIZED FL (CLIENT-CENTRIC / LOCAL ADAPTATION)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Architecture &amp; Philosophy: </w:t>
            </w:r>
            <w:r>
              <w:rPr>
                <w:rFonts w:ascii="Calibri" w:hAnsi="Calibri"/>
                <w:color w:val="222222"/>
                <w:sz w:val="19"/>
              </w:rPr>
              <w:t>Acknowledges that a single global model cannot be universally optimal across disparate clinical sites due to hardware differences (Scanner Bias) and distinct patient cohorts. The optimization locus is situated at the HOSPITAL (Client-side): Individual clients retain or tailor model components locally rather than forcing total global consensus.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Local Fine-Tuning: </w:t>
            </w:r>
            <w:r>
              <w:rPr>
                <w:rFonts w:ascii="Calibri" w:hAnsi="Calibri"/>
                <w:color w:val="222222"/>
                <w:sz w:val="19"/>
              </w:rPr>
              <w:t>Following global FL convergence, each client executes localized training epochs on its proprietary internal data.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Model Splitting (FedRep, FedPer): </w:t>
            </w:r>
            <w:r>
              <w:rPr>
                <w:rFonts w:ascii="Calibri" w:hAnsi="Calibri"/>
                <w:color w:val="222222"/>
                <w:sz w:val="19"/>
              </w:rPr>
              <w:t>Clients retain private Personalized Classification Heads suited to their local demographics, sending only the Shared Feature Backbone to the server.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Domain Normalization (FedBN - Li et al., 2021): </w:t>
            </w:r>
            <w:r>
              <w:rPr>
                <w:rFonts w:ascii="Calibri" w:hAnsi="Calibri"/>
                <w:color w:val="222222"/>
                <w:sz w:val="19"/>
              </w:rPr>
              <w:t>Clients maintain local Batch Normalization layers to neutralize scanner contrast and intensity shifts, sharing only Convolutional parameters with the server.</w:t>
            </w:r>
          </w:p>
          <w:p>
            <w:pPr>
              <w:spacing w:before="20" w:after="40" w:line="269" w:lineRule="auto"/>
            </w:pPr>
            <w:r>
              <w:rPr>
                <w:rFonts w:ascii="Calibri" w:hAnsi="Calibri"/>
                <w:b/>
                <w:color w:val="2B547E"/>
                <w:sz w:val="20"/>
              </w:rPr>
              <w:t xml:space="preserve">• Meta-Learning (Per-FedAvg, pFedHN): </w:t>
            </w:r>
            <w:r>
              <w:rPr>
                <w:rFonts w:ascii="Calibri" w:hAnsi="Calibri"/>
                <w:color w:val="222222"/>
                <w:sz w:val="19"/>
              </w:rPr>
              <w:t>Adopts MAML principles: Learns an optimal global initialization from which individual clients can achieve peak adaptation within 1–3 local gradient steps.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497D"/>
        </w:rPr>
        <w:t>3. Software Framework Comparison &amp; Rationale for Flower (flwr)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none"/>
          <w:bottom w:val="single" w:sz="4" w:space="0" w:color="B0C4DE"/>
          <w:right w:val="none"/>
          <w:insideH w:val="single" w:sz="4" w:space="0" w:color="B0C4DE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FL Framework</w:t>
            </w:r>
          </w:p>
        </w:tc>
        <w:tc>
          <w:tcPr>
            <w:tcW w:type="dxa" w:w="2736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Custom Strategy Extensibility (Novel Algorithms)</w:t>
            </w:r>
          </w:p>
        </w:tc>
        <w:tc>
          <w:tcPr>
            <w:tcW w:type="dxa" w:w="2664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Accessibility for Learners &amp; Newcomers (Learning Curve)</w:t>
            </w:r>
          </w:p>
        </w:tc>
        <w:tc>
          <w:tcPr>
            <w:tcW w:type="dxa" w:w="2664"/>
            <w:shd w:fill="1F497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Simulation to Edge Deployment (Workflow)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b/>
                <w:color w:val="1F497D"/>
                <w:sz w:val="17"/>
              </w:rPr>
              <w:t>NVIDIA FLARE</w:t>
              <w:br/>
              <w:t>(NVIDIA)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sz w:val="17"/>
              </w:rPr>
              <w:t>• Complex &amp; Boilerplate-heavy: Event-driven Controller/Executor architecture introduces high code overhead, making it difficult to inject custom novel loss/aggregation logic.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sz w:val="17"/>
              </w:rPr>
              <w:t>• Steep Learning Curve: Heavy enterprise infrastructure footprint, complex daemon setup, and strict dependency on the proprietary NVIDIA GPU hardware stack.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sz w:val="17"/>
              </w:rPr>
              <w:t>• Optimized for large-scale GPU server clusters; deploying onto lightweight edge endpoints (e.g., Jetson) requires heavy containerized configurations.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10" w:type="dxa"/>
              <w:right w:w="110" w:type="dxa"/>
            </w:tcMar>
            <w:shd w:fill="F7F9FB"/>
          </w:tcPr>
          <w:p>
            <w:r>
              <w:rPr>
                <w:rFonts w:ascii="Calibri" w:hAnsi="Calibri"/>
                <w:b/>
                <w:color w:val="1F497D"/>
                <w:sz w:val="17"/>
              </w:rPr>
              <w:t>OpenFL</w:t>
              <w:br/>
              <w:t>(Intel / Linux Fdn)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10" w:type="dxa"/>
              <w:right w:w="110" w:type="dxa"/>
            </w:tcMar>
            <w:shd w:fill="F7F9FB"/>
          </w:tcPr>
          <w:p>
            <w:r>
              <w:rPr>
                <w:rFonts w:ascii="Calibri" w:hAnsi="Calibri"/>
                <w:sz w:val="17"/>
              </w:rPr>
              <w:t>• Rigid &amp; Constrained: Aggregation pipeline is strictly locked into predefined security workflows, making modifications to core aggregation logic cumbersome.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110" w:type="dxa"/>
              <w:right w:w="110" w:type="dxa"/>
            </w:tcMar>
            <w:shd w:fill="F7F9FB"/>
          </w:tcPr>
          <w:p>
            <w:r>
              <w:rPr>
                <w:rFonts w:ascii="Calibri" w:hAnsi="Calibri"/>
                <w:sz w:val="17"/>
              </w:rPr>
              <w:t>• High Setup Barrier: Mandates complex manual setup of mutual TLS/PKI certificates from day one; documentation is sparse and the developer community is small.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110" w:type="dxa"/>
              <w:right w:w="110" w:type="dxa"/>
            </w:tcMar>
            <w:shd w:fill="F7F9FB"/>
          </w:tcPr>
          <w:p>
            <w:r>
              <w:rPr>
                <w:rFonts w:ascii="Calibri" w:hAnsi="Calibri"/>
                <w:sz w:val="17"/>
              </w:rPr>
              <w:t>• Well-tailored for hospital Cross-Silo deployments; single-machine local multi-client simulation is rigid and resource-inefficient.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b/>
                <w:color w:val="1F497D"/>
                <w:sz w:val="17"/>
              </w:rPr>
              <w:t>Fed-BioMed</w:t>
              <w:br/>
              <w:t>(INRIA France)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sz w:val="17"/>
              </w:rPr>
              <w:t>• Hard to Extend: Primarily packaged with a few pre-built standard algorithms; not architected for prototyping novel optimization or calibration strategies.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sz w:val="17"/>
              </w:rPr>
              <w:t>• High Entry Barrier: Requires mandatory Docker daemon setups and virtual hospital node configurations, focusing more on IT/DevOps than ML research.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sz w:val="17"/>
              </w:rPr>
              <w:t>• Purpose-built for actual clinical trials in hospital networks, but iterative algorithmic simulation speed is sluggish for academic prototyping.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10" w:type="dxa"/>
              <w:right w:w="110" w:type="dxa"/>
            </w:tcMar>
            <w:shd w:fill="EBF3FB"/>
          </w:tcPr>
          <w:p>
            <w:r>
              <w:rPr>
                <w:rFonts w:ascii="Calibri" w:hAnsi="Calibri"/>
                <w:b/>
                <w:color w:val="1F497D"/>
                <w:sz w:val="17"/>
              </w:rPr>
              <w:t>Flower (flwr)</w:t>
              <w:br/>
              <w:t>★ Thesis Selection</w:t>
            </w:r>
          </w:p>
        </w:tc>
        <w:tc>
          <w:tcPr>
            <w:tcW w:type="dxa" w:w="2736"/>
            <w:tcMar>
              <w:top w:w="80" w:type="dxa"/>
              <w:bottom w:w="80" w:type="dxa"/>
              <w:left w:w="110" w:type="dxa"/>
              <w:right w:w="110" w:type="dxa"/>
            </w:tcMar>
            <w:shd w:fill="EBF3FB"/>
          </w:tcPr>
          <w:p>
            <w:r>
              <w:rPr>
                <w:rFonts w:ascii="Calibri" w:hAnsi="Calibri"/>
                <w:sz w:val="17"/>
              </w:rPr>
              <w:t>• Unrivaled &amp; Easiest Extensibility: Subclasses Strategy directly; overriding aggregate_fit implements FedProx, FedNova, and FedSLD in minimal lines of code.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110" w:type="dxa"/>
              <w:right w:w="110" w:type="dxa"/>
            </w:tcMar>
            <w:shd w:fill="EBF3FB"/>
          </w:tcPr>
          <w:p>
            <w:r>
              <w:rPr>
                <w:rFonts w:ascii="Calibri" w:hAnsi="Calibri"/>
                <w:sz w:val="17"/>
              </w:rPr>
              <w:t>• Most Accessible for Learners: Gentle learning curve, clean Pythonic API, extensive community tutorials; installs and runs instantly on PC/laptops without hurdles.</w:t>
            </w:r>
          </w:p>
        </w:tc>
        <w:tc>
          <w:tcPr>
            <w:tcW w:type="dxa" w:w="2664"/>
            <w:tcMar>
              <w:top w:w="80" w:type="dxa"/>
              <w:bottom w:w="80" w:type="dxa"/>
              <w:left w:w="110" w:type="dxa"/>
              <w:right w:w="110" w:type="dxa"/>
            </w:tcMar>
            <w:shd w:fill="EBF3FB"/>
          </w:tcPr>
          <w:p>
            <w:r>
              <w:rPr>
                <w:rFonts w:ascii="Calibri" w:hAnsi="Calibri"/>
                <w:sz w:val="17"/>
              </w:rPr>
              <w:t>• Seamless Transition (100% Code Reuse): Simulates 10–50 hospital clients on 1 GPU (Virtual Client Engine), then deploys the exact same codebase to physical Jetson / hospital nodes.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