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7.png" ContentType="image/png"/>
  <Override PartName="/word/media/rId48.png" ContentType="image/png"/>
  <Override PartName="/word/media/rId32.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WCST</w:t>
      </w:r>
      <w:r>
        <w:t xml:space="preserve"> </w:t>
      </w:r>
      <w:r>
        <w:t xml:space="preserve">data</w:t>
      </w:r>
      <w:r>
        <w:t xml:space="preserve"> </w:t>
      </w:r>
      <w:r>
        <w:t xml:space="preserve">analysis</w:t>
      </w:r>
      <w:r>
        <w:t xml:space="preserve"> </w:t>
      </w:r>
      <w:r>
        <w:t xml:space="preserve">-</w:t>
      </w:r>
      <w:r>
        <w:t xml:space="preserve"> </w:t>
      </w:r>
      <w:r>
        <w:t xml:space="preserve">Step</w:t>
      </w:r>
      <w:r>
        <w:t xml:space="preserve"> </w:t>
      </w:r>
      <w:r>
        <w:t xml:space="preserve">2</w:t>
      </w:r>
    </w:p>
    <w:p>
      <w:pPr>
        <w:pStyle w:val="Heading1"/>
      </w:pPr>
      <w:bookmarkStart w:id="20" w:name="manipulate-data"/>
      <w:r>
        <w:t xml:space="preserve">Manipulate data</w:t>
      </w:r>
      <w:bookmarkEnd w:id="20"/>
    </w:p>
    <w:p>
      <w:pPr>
        <w:pStyle w:val="Heading2"/>
      </w:pPr>
      <w:bookmarkStart w:id="21" w:name="read-data-frames-and-manually-rated-data"/>
      <w:r>
        <w:t xml:space="preserve">Read data frames and manually rated data</w:t>
      </w:r>
      <w:bookmarkEnd w:id="21"/>
    </w:p>
    <w:p>
      <w:pPr>
        <w:pStyle w:val="FirstParagraph"/>
      </w:pPr>
      <w:r>
        <w:t xml:space="preserve">We have loaded data frames saved by the Step 1 script, and merged the manually categorized free text answers about the rule with participantdata_inc.</w:t>
      </w:r>
    </w:p>
    <w:p>
      <w:pPr>
        <w:pStyle w:val="Heading2"/>
      </w:pPr>
      <w:bookmarkStart w:id="22" w:name="modify-data"/>
      <w:r>
        <w:t xml:space="preserve">Modify data</w:t>
      </w:r>
      <w:bookmarkEnd w:id="22"/>
    </w:p>
    <w:p>
      <w:pPr>
        <w:pStyle w:val="FirstParagraph"/>
      </w:pPr>
      <w:r>
        <w:t xml:space="preserve">The subjective difficulty rating was supposed to be a number between 1-10, but it was a free text answer, and some participants went outside the recommended range (e.g.: difficulty = 50). We replaced these numbers with NA, because we were not sure whether participants wanted to indicate that the task was very difficult or if they mistakenly applied a range between 1-100 (some of them solved the task relatively quickly).</w:t>
      </w:r>
    </w:p>
    <w:p>
      <w:pPr>
        <w:pStyle w:val="Heading1"/>
      </w:pPr>
      <w:bookmarkStart w:id="23" w:name="descriptive-statistics"/>
      <w:r>
        <w:t xml:space="preserve">Descriptive statistics</w:t>
      </w:r>
      <w:bookmarkEnd w:id="23"/>
    </w:p>
    <w:p>
      <w:pPr>
        <w:pStyle w:val="Heading2"/>
      </w:pPr>
      <w:bookmarkStart w:id="24" w:name="conditions"/>
      <w:r>
        <w:t xml:space="preserve">Conditions</w:t>
      </w:r>
      <w:bookmarkEnd w:id="24"/>
    </w:p>
    <w:p>
      <w:pPr>
        <w:pStyle w:val="FirstParagraph"/>
      </w:pPr>
      <w:r>
        <w:t xml:space="preserve">The number of participants was 78 in each condition.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Number of participants</w:t>
            </w:r>
          </w:p>
        </w:tc>
        <w:tc>
          <w:tcPr>
            <w:tcBorders>
              <w:bottom w:val="single"/>
            </w:tcBorders>
            <w:vAlign w:val="bottom"/>
          </w:tcPr>
          <w:p>
            <w:pPr>
              <w:pStyle w:val="Compact"/>
              <w:jc w:val="right"/>
            </w:pPr>
            <w:r>
              <w:t xml:space="preserve">Number of solvers</w:t>
            </w:r>
          </w:p>
        </w:tc>
        <w:tc>
          <w:tcPr>
            <w:tcBorders>
              <w:bottom w:val="single"/>
            </w:tcBorders>
            <w:vAlign w:val="bottom"/>
          </w:tcPr>
          <w:p>
            <w:pPr>
              <w:pStyle w:val="Compact"/>
              <w:jc w:val="right"/>
            </w:pPr>
            <w:r>
              <w:t xml:space="preserve">Solution rate</w:t>
            </w:r>
          </w:p>
        </w:tc>
        <w:tc>
          <w:tcPr>
            <w:tcBorders>
              <w:bottom w:val="single"/>
            </w:tcBorders>
            <w:vAlign w:val="bottom"/>
          </w:tcPr>
          <w:p>
            <w:pPr>
              <w:pStyle w:val="Compact"/>
              <w:jc w:val="right"/>
            </w:pPr>
            <w:r>
              <w:t xml:space="preserve">Median task time (min)</w:t>
            </w:r>
          </w:p>
        </w:tc>
        <w:tc>
          <w:tcPr>
            <w:tcBorders>
              <w:bottom w:val="single"/>
            </w:tcBorders>
            <w:vAlign w:val="bottom"/>
          </w:tcPr>
          <w:p>
            <w:pPr>
              <w:pStyle w:val="Compact"/>
              <w:jc w:val="right"/>
            </w:pPr>
            <w:r>
              <w:t xml:space="preserve">SD of task time</w:t>
            </w:r>
          </w:p>
        </w:tc>
        <w:tc>
          <w:tcPr>
            <w:tcBorders>
              <w:bottom w:val="single"/>
            </w:tcBorders>
            <w:vAlign w:val="bottom"/>
          </w:tcPr>
          <w:p>
            <w:pPr>
              <w:pStyle w:val="Compact"/>
              <w:jc w:val="right"/>
            </w:pPr>
            <w:r>
              <w:t xml:space="preserve">Aha rate of solvers</w:t>
            </w:r>
          </w:p>
        </w:tc>
      </w:tr>
      <w:tr>
        <w:tc>
          <w:p>
            <w:pPr>
              <w:pStyle w:val="Compact"/>
              <w:jc w:val="left"/>
            </w:pPr>
            <w:r>
              <w:t xml:space="preserve">Letters In</w:t>
            </w:r>
          </w:p>
        </w:tc>
        <w:tc>
          <w:p>
            <w:pPr>
              <w:pStyle w:val="Compact"/>
              <w:jc w:val="right"/>
            </w:pPr>
            <w:r>
              <w:t xml:space="preserve">78</w:t>
            </w:r>
          </w:p>
        </w:tc>
        <w:tc>
          <w:p>
            <w:pPr>
              <w:pStyle w:val="Compact"/>
              <w:jc w:val="right"/>
            </w:pPr>
            <w:r>
              <w:t xml:space="preserve">78</w:t>
            </w:r>
          </w:p>
        </w:tc>
        <w:tc>
          <w:p>
            <w:pPr>
              <w:pStyle w:val="Compact"/>
              <w:jc w:val="right"/>
            </w:pPr>
            <w:r>
              <w:t xml:space="preserve">1.00</w:t>
            </w:r>
          </w:p>
        </w:tc>
        <w:tc>
          <w:p>
            <w:pPr>
              <w:pStyle w:val="Compact"/>
              <w:jc w:val="right"/>
            </w:pPr>
            <w:r>
              <w:t xml:space="preserve">1.16</w:t>
            </w:r>
          </w:p>
        </w:tc>
        <w:tc>
          <w:p>
            <w:pPr>
              <w:pStyle w:val="Compact"/>
              <w:jc w:val="right"/>
            </w:pPr>
            <w:r>
              <w:t xml:space="preserve">1.77</w:t>
            </w:r>
          </w:p>
        </w:tc>
        <w:tc>
          <w:p>
            <w:pPr>
              <w:pStyle w:val="Compact"/>
              <w:jc w:val="right"/>
            </w:pPr>
            <w:r>
              <w:t xml:space="preserve">0.82</w:t>
            </w:r>
          </w:p>
        </w:tc>
      </w:tr>
      <w:tr>
        <w:tc>
          <w:p>
            <w:pPr>
              <w:pStyle w:val="Compact"/>
              <w:jc w:val="left"/>
            </w:pPr>
            <w:r>
              <w:t xml:space="preserve">Letters Out</w:t>
            </w:r>
          </w:p>
        </w:tc>
        <w:tc>
          <w:p>
            <w:pPr>
              <w:pStyle w:val="Compact"/>
              <w:jc w:val="right"/>
            </w:pPr>
            <w:r>
              <w:t xml:space="preserve">78</w:t>
            </w:r>
          </w:p>
        </w:tc>
        <w:tc>
          <w:p>
            <w:pPr>
              <w:pStyle w:val="Compact"/>
              <w:jc w:val="right"/>
            </w:pPr>
            <w:r>
              <w:t xml:space="preserve">73</w:t>
            </w:r>
          </w:p>
        </w:tc>
        <w:tc>
          <w:p>
            <w:pPr>
              <w:pStyle w:val="Compact"/>
              <w:jc w:val="right"/>
            </w:pPr>
            <w:r>
              <w:t xml:space="preserve">0.94</w:t>
            </w:r>
          </w:p>
        </w:tc>
        <w:tc>
          <w:p>
            <w:pPr>
              <w:pStyle w:val="Compact"/>
              <w:jc w:val="right"/>
            </w:pPr>
            <w:r>
              <w:t xml:space="preserve">2.12</w:t>
            </w:r>
          </w:p>
        </w:tc>
        <w:tc>
          <w:p>
            <w:pPr>
              <w:pStyle w:val="Compact"/>
              <w:jc w:val="right"/>
            </w:pPr>
            <w:r>
              <w:t xml:space="preserve">4.46</w:t>
            </w:r>
          </w:p>
        </w:tc>
        <w:tc>
          <w:p>
            <w:pPr>
              <w:pStyle w:val="Compact"/>
              <w:jc w:val="right"/>
            </w:pPr>
            <w:r>
              <w:t xml:space="preserve">0.93</w:t>
            </w:r>
          </w:p>
        </w:tc>
      </w:tr>
      <w:tr>
        <w:tc>
          <w:p>
            <w:pPr>
              <w:pStyle w:val="Compact"/>
              <w:jc w:val="left"/>
            </w:pPr>
            <w:r>
              <w:t xml:space="preserve">No Letters</w:t>
            </w:r>
          </w:p>
        </w:tc>
        <w:tc>
          <w:p>
            <w:pPr>
              <w:pStyle w:val="Compact"/>
              <w:jc w:val="right"/>
            </w:pPr>
            <w:r>
              <w:t xml:space="preserve">78</w:t>
            </w:r>
          </w:p>
        </w:tc>
        <w:tc>
          <w:p>
            <w:pPr>
              <w:pStyle w:val="Compact"/>
              <w:jc w:val="right"/>
            </w:pPr>
            <w:r>
              <w:t xml:space="preserve">50</w:t>
            </w:r>
          </w:p>
        </w:tc>
        <w:tc>
          <w:p>
            <w:pPr>
              <w:pStyle w:val="Compact"/>
              <w:jc w:val="right"/>
            </w:pPr>
            <w:r>
              <w:t xml:space="preserve">0.64</w:t>
            </w:r>
          </w:p>
        </w:tc>
        <w:tc>
          <w:p>
            <w:pPr>
              <w:pStyle w:val="Compact"/>
              <w:jc w:val="right"/>
            </w:pPr>
            <w:r>
              <w:t xml:space="preserve">8.24</w:t>
            </w:r>
          </w:p>
        </w:tc>
        <w:tc>
          <w:p>
            <w:pPr>
              <w:pStyle w:val="Compact"/>
              <w:jc w:val="right"/>
            </w:pPr>
            <w:r>
              <w:t xml:space="preserve">5.30</w:t>
            </w:r>
          </w:p>
        </w:tc>
        <w:tc>
          <w:p>
            <w:pPr>
              <w:pStyle w:val="Compact"/>
              <w:jc w:val="right"/>
            </w:pPr>
            <w:r>
              <w:t xml:space="preserve">0.98</w:t>
            </w:r>
          </w:p>
        </w:tc>
      </w:tr>
      <w:tr>
        <w:tc>
          <w:p>
            <w:pPr>
              <w:pStyle w:val="Compact"/>
              <w:jc w:val="left"/>
            </w:pPr>
            <w:r>
              <w:t xml:space="preserve">Letters Only</w:t>
            </w:r>
          </w:p>
        </w:tc>
        <w:tc>
          <w:p>
            <w:pPr>
              <w:pStyle w:val="Compact"/>
              <w:jc w:val="right"/>
            </w:pPr>
            <w:r>
              <w:t xml:space="preserve">78</w:t>
            </w:r>
          </w:p>
        </w:tc>
        <w:tc>
          <w:p>
            <w:pPr>
              <w:pStyle w:val="Compact"/>
              <w:jc w:val="right"/>
            </w:pPr>
            <w:r>
              <w:t xml:space="preserve">78</w:t>
            </w:r>
          </w:p>
        </w:tc>
        <w:tc>
          <w:p>
            <w:pPr>
              <w:pStyle w:val="Compact"/>
              <w:jc w:val="right"/>
            </w:pPr>
            <w:r>
              <w:t xml:space="preserve">1.00</w:t>
            </w:r>
          </w:p>
        </w:tc>
        <w:tc>
          <w:p>
            <w:pPr>
              <w:pStyle w:val="Compact"/>
              <w:jc w:val="right"/>
            </w:pPr>
            <w:r>
              <w:t xml:space="preserve">0.70</w:t>
            </w:r>
          </w:p>
        </w:tc>
        <w:tc>
          <w:p>
            <w:pPr>
              <w:pStyle w:val="Compact"/>
              <w:jc w:val="right"/>
            </w:pPr>
            <w:r>
              <w:t xml:space="preserve">0.63</w:t>
            </w:r>
          </w:p>
        </w:tc>
        <w:tc>
          <w:p>
            <w:pPr>
              <w:pStyle w:val="Compact"/>
              <w:jc w:val="right"/>
            </w:pPr>
            <w:r>
              <w:t xml:space="preserve">0.58</w:t>
            </w:r>
          </w:p>
        </w:tc>
      </w:tr>
      <w:tr>
        <w:tc>
          <w:p>
            <w:pPr>
              <w:pStyle w:val="Compact"/>
              <w:jc w:val="left"/>
            </w:pPr>
            <w:r>
              <w:t xml:space="preserve">Fixed Deck</w:t>
            </w:r>
          </w:p>
        </w:tc>
        <w:tc>
          <w:p>
            <w:pPr>
              <w:pStyle w:val="Compact"/>
              <w:jc w:val="right"/>
            </w:pPr>
            <w:r>
              <w:t xml:space="preserve">78</w:t>
            </w:r>
          </w:p>
        </w:tc>
        <w:tc>
          <w:p>
            <w:pPr>
              <w:pStyle w:val="Compact"/>
              <w:jc w:val="right"/>
            </w:pPr>
            <w:r>
              <w:t xml:space="preserve">69</w:t>
            </w:r>
          </w:p>
        </w:tc>
        <w:tc>
          <w:p>
            <w:pPr>
              <w:pStyle w:val="Compact"/>
              <w:jc w:val="right"/>
            </w:pPr>
            <w:r>
              <w:t xml:space="preserve">0.88</w:t>
            </w:r>
          </w:p>
        </w:tc>
        <w:tc>
          <w:p>
            <w:pPr>
              <w:pStyle w:val="Compact"/>
              <w:jc w:val="right"/>
            </w:pPr>
            <w:r>
              <w:t xml:space="preserve">4.80</w:t>
            </w:r>
          </w:p>
        </w:tc>
        <w:tc>
          <w:p>
            <w:pPr>
              <w:pStyle w:val="Compact"/>
              <w:jc w:val="right"/>
            </w:pPr>
            <w:r>
              <w:t xml:space="preserve">4.56</w:t>
            </w:r>
          </w:p>
        </w:tc>
        <w:tc>
          <w:p>
            <w:pPr>
              <w:pStyle w:val="Compact"/>
              <w:jc w:val="right"/>
            </w:pPr>
            <w:r>
              <w:t xml:space="preserve">0.88</w:t>
            </w:r>
          </w:p>
        </w:tc>
      </w:tr>
      <w:tr>
        <w:tc>
          <w:p>
            <w:pPr>
              <w:pStyle w:val="Compact"/>
              <w:jc w:val="left"/>
            </w:pPr>
            <w:r>
              <w:t xml:space="preserve">Ambiguous Cards</w:t>
            </w:r>
          </w:p>
        </w:tc>
        <w:tc>
          <w:p>
            <w:pPr>
              <w:pStyle w:val="Compact"/>
              <w:jc w:val="right"/>
            </w:pPr>
            <w:r>
              <w:t xml:space="preserve">78</w:t>
            </w:r>
          </w:p>
        </w:tc>
        <w:tc>
          <w:p>
            <w:pPr>
              <w:pStyle w:val="Compact"/>
              <w:jc w:val="right"/>
            </w:pPr>
            <w:r>
              <w:t xml:space="preserve">41</w:t>
            </w:r>
          </w:p>
        </w:tc>
        <w:tc>
          <w:p>
            <w:pPr>
              <w:pStyle w:val="Compact"/>
              <w:jc w:val="right"/>
            </w:pPr>
            <w:r>
              <w:t xml:space="preserve">0.53</w:t>
            </w:r>
          </w:p>
        </w:tc>
        <w:tc>
          <w:p>
            <w:pPr>
              <w:pStyle w:val="Compact"/>
              <w:jc w:val="right"/>
            </w:pPr>
            <w:r>
              <w:t xml:space="preserve">13.37</w:t>
            </w:r>
          </w:p>
        </w:tc>
        <w:tc>
          <w:p>
            <w:pPr>
              <w:pStyle w:val="Compact"/>
              <w:jc w:val="right"/>
            </w:pPr>
            <w:r>
              <w:t xml:space="preserve">5.26</w:t>
            </w:r>
          </w:p>
        </w:tc>
        <w:tc>
          <w:p>
            <w:pPr>
              <w:pStyle w:val="Compact"/>
              <w:jc w:val="right"/>
            </w:pPr>
            <w:r>
              <w:t xml:space="preserve">0.90</w:t>
            </w:r>
          </w:p>
        </w:tc>
      </w:tr>
      <w:tr>
        <w:tc>
          <w:p>
            <w:pPr>
              <w:pStyle w:val="Compact"/>
              <w:jc w:val="left"/>
            </w:pPr>
            <w:r>
              <w:t xml:space="preserve">Uniform Deck</w:t>
            </w:r>
          </w:p>
        </w:tc>
        <w:tc>
          <w:p>
            <w:pPr>
              <w:pStyle w:val="Compact"/>
              <w:jc w:val="right"/>
            </w:pPr>
            <w:r>
              <w:t xml:space="preserve">78</w:t>
            </w:r>
          </w:p>
        </w:tc>
        <w:tc>
          <w:p>
            <w:pPr>
              <w:pStyle w:val="Compact"/>
              <w:jc w:val="right"/>
            </w:pPr>
            <w:r>
              <w:t xml:space="preserve">70</w:t>
            </w:r>
          </w:p>
        </w:tc>
        <w:tc>
          <w:p>
            <w:pPr>
              <w:pStyle w:val="Compact"/>
              <w:jc w:val="right"/>
            </w:pPr>
            <w:r>
              <w:t xml:space="preserve">0.90</w:t>
            </w:r>
          </w:p>
        </w:tc>
        <w:tc>
          <w:p>
            <w:pPr>
              <w:pStyle w:val="Compact"/>
              <w:jc w:val="right"/>
            </w:pPr>
            <w:r>
              <w:t xml:space="preserve">3.20</w:t>
            </w:r>
          </w:p>
        </w:tc>
        <w:tc>
          <w:p>
            <w:pPr>
              <w:pStyle w:val="Compact"/>
              <w:jc w:val="right"/>
            </w:pPr>
            <w:r>
              <w:t xml:space="preserve">4.07</w:t>
            </w:r>
          </w:p>
        </w:tc>
        <w:tc>
          <w:p>
            <w:pPr>
              <w:pStyle w:val="Compact"/>
              <w:jc w:val="right"/>
            </w:pPr>
            <w:r>
              <w:t xml:space="preserve">0.76</w:t>
            </w:r>
          </w:p>
        </w:tc>
      </w:tr>
    </w:tbl>
    <w:p>
      <w:pPr>
        <w:pStyle w:val="Heading2"/>
      </w:pPr>
      <w:bookmarkStart w:id="25" w:name="demographics"/>
      <w:r>
        <w:t xml:space="preserve">Demographics</w:t>
      </w:r>
      <w:bookmarkEnd w:id="25"/>
    </w:p>
    <w:p>
      <w:pPr>
        <w:pStyle w:val="FirstParagraph"/>
      </w:pPr>
      <w:r>
        <w:t xml:space="preserve">In Experiment 1, out of 312 participants, 167 were female. The majority were United Kingdom nationals (224 participants).</w:t>
      </w:r>
      <w:r>
        <w:br/>
      </w:r>
      <w:r>
        <w:t xml:space="preserve">In Experiment 2, out of 156 participants, 78 were female. The majority were United Kingdom nationals (109 participants).</w:t>
      </w:r>
    </w:p>
    <w:p>
      <w:pPr>
        <w:pStyle w:val="Heading1"/>
      </w:pPr>
      <w:bookmarkStart w:id="26" w:name="statistical-tests"/>
      <w:r>
        <w:t xml:space="preserve">Statistical tests</w:t>
      </w:r>
      <w:bookmarkEnd w:id="26"/>
    </w:p>
    <w:p>
      <w:pPr>
        <w:pStyle w:val="Heading2"/>
      </w:pPr>
      <w:bookmarkStart w:id="27" w:name="difficulty-of-the-task"/>
      <w:r>
        <w:t xml:space="preserve">Difficulty of the task</w:t>
      </w:r>
      <w:bookmarkEnd w:id="27"/>
    </w:p>
    <w:p>
      <w:pPr>
        <w:pStyle w:val="FirstParagraph"/>
      </w:pPr>
      <w:r>
        <w:t xml:space="preserve">A task is more difficult in one condition than in another condition, if less participants are able to solve it, or if it takes longer for participants to solve it (even if solution rates are the same). This is why, we compared the difficulty of the task</w:t>
      </w:r>
    </w:p>
    <w:p>
      <w:pPr>
        <w:pStyle w:val="Compact"/>
        <w:numPr>
          <w:numId w:val="1001"/>
          <w:ilvl w:val="0"/>
        </w:numPr>
      </w:pPr>
      <w:r>
        <w:t xml:space="preserve">first, by Fisher’s exact test on the number of solvers (pairwise comparisons)</w:t>
      </w:r>
    </w:p>
    <w:p>
      <w:pPr>
        <w:pStyle w:val="Compact"/>
        <w:numPr>
          <w:numId w:val="1001"/>
          <w:ilvl w:val="0"/>
        </w:numPr>
      </w:pPr>
      <w:r>
        <w:t xml:space="preserve">then, if the Fisher’s exact test was not significant, we compared task time by two-sample Wilcoxon test (same as the Mann-Whitney test)</w:t>
      </w:r>
    </w:p>
    <w:p>
      <w:pPr>
        <w:pStyle w:val="Compact"/>
        <w:numPr>
          <w:numId w:val="1001"/>
          <w:ilvl w:val="0"/>
        </w:numPr>
      </w:pPr>
      <w:r>
        <w:rPr>
          <w:b/>
        </w:rPr>
        <w:t xml:space="preserve">ANOVA with Greenhouse-Geisser correction: robust also for non-normally distributed data</w:t>
      </w:r>
    </w:p>
    <w:p>
      <w:pPr>
        <w:pStyle w:val="Compact"/>
        <w:numPr>
          <w:numId w:val="1001"/>
          <w:ilvl w:val="0"/>
        </w:numPr>
      </w:pPr>
      <w:r>
        <w:rPr>
          <w:b/>
        </w:rPr>
        <w:t xml:space="preserve">We also used binary logistic regression.</w:t>
      </w:r>
    </w:p>
    <w:p>
      <w:pPr>
        <w:pStyle w:val="FirstParagraph"/>
      </w:pPr>
      <w:r>
        <w:t xml:space="preserve">The following plots compare all conditions of Experiment 1 and 2 and the control condition:</w:t>
      </w:r>
    </w:p>
    <w:p>
      <w:pPr>
        <w:pStyle w:val="Compact"/>
        <w:numPr>
          <w:numId w:val="1002"/>
          <w:ilvl w:val="0"/>
        </w:numPr>
      </w:pPr>
      <w:r>
        <w:t xml:space="preserve">The barplot shows solution rates accross conditions.</w:t>
      </w:r>
    </w:p>
    <w:p>
      <w:pPr>
        <w:pStyle w:val="Compact"/>
        <w:numPr>
          <w:numId w:val="1002"/>
          <w:ilvl w:val="0"/>
        </w:numPr>
      </w:pPr>
      <w:r>
        <w:t xml:space="preserve">The histogram shows the distribution of task time in all the conditions.</w:t>
      </w:r>
    </w:p>
    <w:p>
      <w:pPr>
        <w:pStyle w:val="Compact"/>
        <w:numPr>
          <w:numId w:val="1002"/>
          <w:ilvl w:val="0"/>
        </w:numPr>
      </w:pPr>
      <w:r>
        <w:t xml:space="preserve">The boxplot shows the distribution of task time accrosss condition. Circles represent outliers. Whiskers extend to the most extreme data point which is no more than 1.5 times the interquartile range from the box. If the notches of two boxes do not overlap this is strong evidence that the two medians differ.</w:t>
      </w:r>
    </w:p>
    <w:p>
      <w:pPr>
        <w:pStyle w:val="FirstParagraph"/>
      </w:pPr>
      <w:r>
        <w:drawing>
          <wp:inline>
            <wp:extent cx="4620126" cy="3696101"/>
            <wp:effectExtent b="0" l="0" r="0" t="0"/>
            <wp:docPr descr="" title="" id="1" name="Picture"/>
            <a:graphic>
              <a:graphicData uri="http://schemas.openxmlformats.org/drawingml/2006/picture">
                <pic:pic>
                  <pic:nvPicPr>
                    <pic:cNvPr descr="WCST_dataanalysis_Step2_files/figure-docx/Plots%20for%20task%20difficulty-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CST_dataanalysis_Step2_files/figure-docx/Plots%20for%20task%20difficulty-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CST_dataanalysis_Step2_files/figure-docx/Plots%20for%20task%20difficulty-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of task times shows that the data is not normally distributed, so we had to use nonparametric tests. The Kolmogorov-Smirnov normality test on task time also showed that the data was not normally distributed.</w:t>
      </w:r>
    </w:p>
    <w:p>
      <w:pPr>
        <w:pStyle w:val="TableCaption"/>
      </w:pPr>
      <w:r>
        <w:t xml:space="preserve">One-sample Kolmogorov-Smirnov test:</w:t>
      </w:r>
      <w:r>
        <w:t xml:space="preserve"> </w:t>
      </w:r>
      <w:r>
        <w:rPr>
          <w:rStyle w:val="VerbatimChar"/>
        </w:rPr>
        <w:t xml:space="preserve">participantdata_inc %&gt;% select(task_time)</w:t>
      </w:r>
    </w:p>
    <w:tbl>
      <w:tblPr>
        <w:tblStyle w:val="Table"/>
        <w:tblW w:type="pct" w:w="3611.111111111111"/>
        <w:tblLook w:firstRow="1"/>
        <w:tblCaption w:val="One-sample Kolmogorov-Smirnov test: participantdata_inc %&gt;% select(task_time)"/>
      </w:tblPr>
      <w:tblGrid>
        <w:gridCol w:w="1870"/>
        <w:gridCol w:w="1100"/>
        <w:gridCol w:w="27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0.6558</w:t>
            </w:r>
          </w:p>
        </w:tc>
        <w:tc>
          <w:p>
            <w:pPr>
              <w:pStyle w:val="Compact"/>
              <w:jc w:val="center"/>
            </w:pPr>
            <w:r>
              <w:t xml:space="preserve">0 * * *</w:t>
            </w:r>
          </w:p>
        </w:tc>
        <w:tc>
          <w:p>
            <w:pPr>
              <w:pStyle w:val="Compact"/>
              <w:jc w:val="center"/>
            </w:pPr>
            <w:r>
              <w:t xml:space="preserve">two-sided</w:t>
            </w:r>
          </w:p>
        </w:tc>
      </w:tr>
    </w:tbl>
    <w:p>
      <w:pPr>
        <w:pStyle w:val="Heading2"/>
      </w:pPr>
      <w:bookmarkStart w:id="31" w:name="aha-feelings"/>
      <w:r>
        <w:t xml:space="preserve">Aha feelings</w:t>
      </w:r>
      <w:bookmarkEnd w:id="31"/>
    </w:p>
    <w:p>
      <w:pPr>
        <w:pStyle w:val="FirstParagraph"/>
      </w:pPr>
      <w:r>
        <w:t xml:space="preserve">We used Fisher’s exact tests to make pairwise comparison between conditions regarding the Aha-feelings of solvers (whether they reported having aha-feelings or not).</w:t>
      </w:r>
    </w:p>
    <w:p>
      <w:pPr>
        <w:pStyle w:val="BodyText"/>
      </w:pPr>
      <w:r>
        <w:drawing>
          <wp:inline>
            <wp:extent cx="4620126" cy="3696101"/>
            <wp:effectExtent b="0" l="0" r="0" t="0"/>
            <wp:docPr descr="" title="" id="1" name="Picture"/>
            <a:graphic>
              <a:graphicData uri="http://schemas.openxmlformats.org/drawingml/2006/picture">
                <pic:pic>
                  <pic:nvPicPr>
                    <pic:cNvPr descr="WCST_dataanalysis_Step2_files/figure-docx/Plot%20for%20Aha-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3" w:name="results---experiment-1"/>
      <w:r>
        <w:t xml:space="preserve">Results - Experiment 1</w:t>
      </w:r>
      <w:bookmarkEnd w:id="33"/>
    </w:p>
    <w:p>
      <w:pPr>
        <w:pStyle w:val="Heading2"/>
      </w:pPr>
      <w:bookmarkStart w:id="34" w:name="difficulty-of-the-task---experiment-1"/>
      <w:r>
        <w:t xml:space="preserve">Difficulty of the task - Experiment 1</w:t>
      </w:r>
      <w:bookmarkEnd w:id="34"/>
    </w:p>
    <w:p>
      <w:pPr>
        <w:pStyle w:val="FirstParagraph"/>
      </w:pPr>
      <w:r>
        <w:t xml:space="preserve">We analyzed the contingency table containing the number of solvers and non-solvers in pairs of conditions with Fisher’s exact test. A p&lt;0.05 means that the row/column association is statistically significant:</w:t>
      </w:r>
    </w:p>
    <w:p>
      <w:pPr>
        <w:pStyle w:val="BodyText"/>
      </w:pPr>
      <w:r>
        <w:t xml:space="preserve">WLIN-WLOUT:</w:t>
      </w:r>
      <w:r>
        <w:t xml:space="preserve"> </w:t>
      </w:r>
      <w:r>
        <w:rPr>
          <w:b/>
        </w:rPr>
        <w:t xml:space="preserve">not significant</w:t>
      </w:r>
    </w:p>
    <w:p>
      <w:pPr>
        <w:pStyle w:val="TableCaption"/>
      </w:pPr>
      <w:r>
        <w:t xml:space="preserve">Fisher’s Exact Test for Count Data:</w:t>
      </w:r>
      <w:r>
        <w:t xml:space="preserve"> </w:t>
      </w:r>
      <w:r>
        <w:rPr>
          <w:rStyle w:val="VerbatimChar"/>
        </w:rPr>
        <w:t xml:space="preserve">partic_groups2[c("wlin", "wlout"), c("Nbof_solvers", "Nbof_nonsolvers")]</w:t>
      </w:r>
    </w:p>
    <w:tbl>
      <w:tblPr>
        <w:tblStyle w:val="Table"/>
        <w:tblW w:type="pct" w:w="3333.333333333333"/>
        <w:tblLook w:firstRow="1"/>
        <w:tblCaption w:val="Fisher’s Exact Test for Count Data: partic_groups2[c(&quot;wlin&quot;, &quot;wlout&quot;), c(&quot;Nbof_solvers&quot;, &quot;Nbof_nonsolvers&quot;)]"/>
      </w:tblPr>
      <w:tblGrid>
        <w:gridCol w:w="110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0.05851</w:t>
            </w:r>
          </w:p>
        </w:tc>
        <w:tc>
          <w:p>
            <w:pPr>
              <w:pStyle w:val="Compact"/>
              <w:jc w:val="center"/>
            </w:pPr>
            <w:r>
              <w:t xml:space="preserve">two.sided</w:t>
            </w:r>
          </w:p>
        </w:tc>
        <w:tc>
          <w:p>
            <w:pPr>
              <w:pStyle w:val="Compact"/>
              <w:jc w:val="center"/>
            </w:pPr>
            <w:r>
              <w:t xml:space="preserve">Inf</w:t>
            </w:r>
          </w:p>
        </w:tc>
      </w:tr>
    </w:tbl>
    <w:p>
      <w:pPr>
        <w:pStyle w:val="BodyText"/>
      </w:pPr>
      <w:r>
        <w:t xml:space="preserve">WLOUT-WNOL:</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partic_groups2[c("wlout", "wnol"), c("Nbof_solvers", "Nbof_nonsolvers")]</w:t>
      </w:r>
    </w:p>
    <w:tbl>
      <w:tblPr>
        <w:tblStyle w:val="Table"/>
        <w:tblW w:type="pct" w:w="3888.888888888889"/>
        <w:tblLook w:firstRow="1"/>
        <w:tblCaption w:val="Fisher’s Exact Test for Count Data: partic_groups2[c(&quot;wlout&quot;, &quot;wnol&quot;), c(&quot;Nbof_solvers&quot;, &quot;Nbof_non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8.206e-06 * * *</w:t>
            </w:r>
          </w:p>
        </w:tc>
        <w:tc>
          <w:p>
            <w:pPr>
              <w:pStyle w:val="Compact"/>
              <w:jc w:val="center"/>
            </w:pPr>
            <w:r>
              <w:t xml:space="preserve">two.sided</w:t>
            </w:r>
          </w:p>
        </w:tc>
        <w:tc>
          <w:p>
            <w:pPr>
              <w:pStyle w:val="Compact"/>
              <w:jc w:val="center"/>
            </w:pPr>
            <w:r>
              <w:t xml:space="preserve">8.07</w:t>
            </w:r>
          </w:p>
        </w:tc>
      </w:tr>
    </w:tbl>
    <w:p>
      <w:pPr>
        <w:pStyle w:val="BodyText"/>
      </w:pPr>
      <w:r>
        <w:t xml:space="preserve">WLIN-WLOUT task times:</w:t>
      </w:r>
      <w:r>
        <w:t xml:space="preserve"> </w:t>
      </w:r>
      <w:r>
        <w:rPr>
          <w:b/>
        </w:rPr>
        <w:t xml:space="preserve">significant</w:t>
      </w:r>
    </w:p>
    <w:p>
      <w:pPr>
        <w:pStyle w:val="TableCaption"/>
      </w:pPr>
      <w:r>
        <w:t xml:space="preserve">Wilcoxon rank sum test with continuity correction:</w:t>
      </w:r>
      <w:r>
        <w:t xml:space="preserve"> </w:t>
      </w:r>
      <w:r>
        <w:rPr>
          <w:rStyle w:val="VerbatimChar"/>
        </w:rPr>
        <w:t xml:space="preserve">wlin_time</w:t>
      </w:r>
      <w:r>
        <w:t xml:space="preserve"> </w:t>
      </w:r>
      <w:r>
        <w:t xml:space="preserve">and</w:t>
      </w:r>
      <w:r>
        <w:t xml:space="preserve"> </w:t>
      </w:r>
      <w:r>
        <w:rPr>
          <w:rStyle w:val="VerbatimChar"/>
        </w:rPr>
        <w:t xml:space="preserve">wlout_time</w:t>
      </w:r>
    </w:p>
    <w:tbl>
      <w:tblPr>
        <w:tblStyle w:val="Table"/>
        <w:tblW w:type="pct" w:w="4166.666666666666"/>
        <w:tblLook w:firstRow="1"/>
        <w:tblCaption w:val="Wilcoxon rank sum test with continuity correction: wlin_time and wlout_time"/>
      </w:tblPr>
      <w:tblGrid>
        <w:gridCol w:w="1870"/>
        <w:gridCol w:w="1980"/>
        <w:gridCol w:w="27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1624</w:t>
            </w:r>
          </w:p>
        </w:tc>
        <w:tc>
          <w:p>
            <w:pPr>
              <w:pStyle w:val="Compact"/>
              <w:jc w:val="center"/>
            </w:pPr>
            <w:r>
              <w:t xml:space="preserve">5.055e-07 * * *</w:t>
            </w:r>
          </w:p>
        </w:tc>
        <w:tc>
          <w:p>
            <w:pPr>
              <w:pStyle w:val="Compact"/>
              <w:jc w:val="center"/>
            </w:pPr>
            <w:r>
              <w:t xml:space="preserve">two.sided</w:t>
            </w:r>
          </w:p>
        </w:tc>
      </w:tr>
    </w:tbl>
    <w:p>
      <w:pPr>
        <w:pStyle w:val="BodyText"/>
      </w:pPr>
      <w:r>
        <w:t xml:space="preserve">We conclude, that the difficulty of conditions in Experiment 1 was:</w:t>
      </w:r>
    </w:p>
    <w:p>
      <w:pPr>
        <w:pStyle w:val="Compact"/>
        <w:numPr>
          <w:numId w:val="1003"/>
          <w:ilvl w:val="0"/>
        </w:numPr>
      </w:pPr>
      <w:r>
        <w:t xml:space="preserve">WLIN &lt; WLOUT</w:t>
      </w:r>
    </w:p>
    <w:p>
      <w:pPr>
        <w:pStyle w:val="Compact"/>
        <w:numPr>
          <w:numId w:val="1003"/>
          <w:ilvl w:val="0"/>
        </w:numPr>
      </w:pPr>
      <w:r>
        <w:t xml:space="preserve">WLOUT &lt; WNOL</w:t>
      </w:r>
    </w:p>
    <w:p>
      <w:pPr>
        <w:pStyle w:val="Heading2"/>
      </w:pPr>
      <w:bookmarkStart w:id="35" w:name="aha-feelings---experiment-1"/>
      <w:r>
        <w:t xml:space="preserve">Aha feelings - Experiment 1</w:t>
      </w:r>
      <w:bookmarkEnd w:id="35"/>
    </w:p>
    <w:p>
      <w:pPr>
        <w:pStyle w:val="FirstParagraph"/>
      </w:pPr>
      <w:r>
        <w:t xml:space="preserve">We analyzed the contingency table containing the number of solvers who reported Aha-feelings and number of solvers who did not report Aha-feelings in pairs of conditions with Fisher’s exact tests. We compared all conditions to the control condition (Letters Only). A p&lt;0.05 means that the row/column association is statistically significant:</w:t>
      </w:r>
    </w:p>
    <w:p>
      <w:pPr>
        <w:pStyle w:val="BodyText"/>
      </w:pPr>
      <w:r>
        <w:t xml:space="preserve">WLIN &gt; WONLY:</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partic_groups2[c("wlin", "wonly"), c("Nbof_ahas_solvers", "Nbof_noahas_solvers")]</w:t>
      </w:r>
    </w:p>
    <w:tbl>
      <w:tblPr>
        <w:tblStyle w:val="Table"/>
        <w:tblW w:type="pct" w:w="3680.5555555555557"/>
        <w:tblLook w:firstRow="1"/>
        <w:tblCaption w:val="Fisher’s Exact Test for Count Data: partic_groups2[c(&quot;wlin&quot;, &quot;wonly&quot;), c(&quot;Nbof_ahas_solvers&quot;, &quot;Nbof_noahas_solvers&quot;)]"/>
      </w:tblPr>
      <w:tblGrid>
        <w:gridCol w:w="165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0.001533 * *</w:t>
            </w:r>
          </w:p>
        </w:tc>
        <w:tc>
          <w:p>
            <w:pPr>
              <w:pStyle w:val="Compact"/>
              <w:jc w:val="center"/>
            </w:pPr>
            <w:r>
              <w:t xml:space="preserve">two.sided</w:t>
            </w:r>
          </w:p>
        </w:tc>
        <w:tc>
          <w:p>
            <w:pPr>
              <w:pStyle w:val="Compact"/>
              <w:jc w:val="center"/>
            </w:pPr>
            <w:r>
              <w:t xml:space="preserve">3.326</w:t>
            </w:r>
          </w:p>
        </w:tc>
      </w:tr>
    </w:tbl>
    <w:p>
      <w:pPr>
        <w:pStyle w:val="BodyText"/>
      </w:pPr>
      <w:r>
        <w:t xml:space="preserve">WLOUT &gt; WONLY:</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partic_groups2[c("wlout", "wonly"), c("Nbof_ahas_solvers", "Nbof_noahas_solvers")]</w:t>
      </w:r>
    </w:p>
    <w:tbl>
      <w:tblPr>
        <w:tblStyle w:val="Table"/>
        <w:tblW w:type="pct" w:w="3888.888888888889"/>
        <w:tblLook w:firstRow="1"/>
        <w:tblCaption w:val="Fisher’s Exact Test for Count Data: partic_groups2[c(&quot;wlout&quot;, &quot;wonly&quot;), c(&quot;Nbof_ahas_solvers&quot;, &quot;Nbof_noahas_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4.403e-07 * * *</w:t>
            </w:r>
          </w:p>
        </w:tc>
        <w:tc>
          <w:p>
            <w:pPr>
              <w:pStyle w:val="Compact"/>
              <w:jc w:val="center"/>
            </w:pPr>
            <w:r>
              <w:t xml:space="preserve">two.sided</w:t>
            </w:r>
          </w:p>
        </w:tc>
        <w:tc>
          <w:p>
            <w:pPr>
              <w:pStyle w:val="Compact"/>
              <w:jc w:val="center"/>
            </w:pPr>
            <w:r>
              <w:t xml:space="preserve">9.826</w:t>
            </w:r>
          </w:p>
        </w:tc>
      </w:tr>
    </w:tbl>
    <w:p>
      <w:pPr>
        <w:pStyle w:val="BodyText"/>
      </w:pPr>
      <w:r>
        <w:t xml:space="preserve">WNOL &gt; WONLY:</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partic_groups2[c("wnol", "wonly"), c("Nbof_ahas_solvers", "Nbof_noahas_solvers")]</w:t>
      </w:r>
    </w:p>
    <w:tbl>
      <w:tblPr>
        <w:tblStyle w:val="Table"/>
        <w:tblW w:type="pct" w:w="3888.888888888889"/>
        <w:tblLook w:firstRow="1"/>
        <w:tblCaption w:val="Fisher’s Exact Test for Count Data: partic_groups2[c(&quot;wnol&quot;, &quot;wonly&quot;), c(&quot;Nbof_ahas_solvers&quot;, &quot;Nbof_noahas_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7.237e-08 * * *</w:t>
            </w:r>
          </w:p>
        </w:tc>
        <w:tc>
          <w:p>
            <w:pPr>
              <w:pStyle w:val="Compact"/>
              <w:jc w:val="center"/>
            </w:pPr>
            <w:r>
              <w:t xml:space="preserve">two.sided</w:t>
            </w:r>
          </w:p>
        </w:tc>
        <w:tc>
          <w:p>
            <w:pPr>
              <w:pStyle w:val="Compact"/>
              <w:jc w:val="center"/>
            </w:pPr>
            <w:r>
              <w:t xml:space="preserve">35.22</w:t>
            </w:r>
          </w:p>
        </w:tc>
      </w:tr>
    </w:tbl>
    <w:p>
      <w:pPr>
        <w:pStyle w:val="BodyText"/>
      </w:pPr>
      <w:r>
        <w:t xml:space="preserve">Levels:</w:t>
      </w:r>
    </w:p>
    <w:p>
      <w:pPr>
        <w:pStyle w:val="BodyText"/>
      </w:pPr>
      <w:r>
        <w:t xml:space="preserve">WLOUT &gt; WLIN:</w:t>
      </w:r>
      <w:r>
        <w:t xml:space="preserve"> </w:t>
      </w:r>
      <w:r>
        <w:rPr>
          <w:b/>
        </w:rPr>
        <w:t xml:space="preserve">not significant</w:t>
      </w:r>
    </w:p>
    <w:p>
      <w:pPr>
        <w:pStyle w:val="TableCaption"/>
      </w:pPr>
      <w:r>
        <w:t xml:space="preserve">Fisher’s Exact Test for Count Data:</w:t>
      </w:r>
      <w:r>
        <w:t xml:space="preserve"> </w:t>
      </w:r>
      <w:r>
        <w:rPr>
          <w:rStyle w:val="VerbatimChar"/>
        </w:rPr>
        <w:t xml:space="preserve">partic_groups2[c("wlout", "wlin"), c("Nbof_ahas_solvers", "Nbof_noahas_solvers")]</w:t>
      </w:r>
    </w:p>
    <w:tbl>
      <w:tblPr>
        <w:tblStyle w:val="Table"/>
        <w:tblW w:type="pct" w:w="3333.333333333333"/>
        <w:tblLook w:firstRow="1"/>
        <w:tblCaption w:val="Fisher’s Exact Test for Count Data: partic_groups2[c(&quot;wlout&quot;, &quot;wlin&quot;), c(&quot;Nbof_ahas_solvers&quot;, &quot;Nbof_noahas_solvers&quot;)]"/>
      </w:tblPr>
      <w:tblGrid>
        <w:gridCol w:w="110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0.05001</w:t>
            </w:r>
          </w:p>
        </w:tc>
        <w:tc>
          <w:p>
            <w:pPr>
              <w:pStyle w:val="Compact"/>
              <w:jc w:val="center"/>
            </w:pPr>
            <w:r>
              <w:t xml:space="preserve">two.sided</w:t>
            </w:r>
          </w:p>
        </w:tc>
        <w:tc>
          <w:p>
            <w:pPr>
              <w:pStyle w:val="Compact"/>
              <w:jc w:val="center"/>
            </w:pPr>
            <w:r>
              <w:t xml:space="preserve">2.955</w:t>
            </w:r>
          </w:p>
        </w:tc>
      </w:tr>
    </w:tbl>
    <w:p>
      <w:pPr>
        <w:pStyle w:val="BodyText"/>
      </w:pPr>
      <w:r>
        <w:t xml:space="preserve">WNOL &gt; WLOUT:</w:t>
      </w:r>
      <w:r>
        <w:t xml:space="preserve"> </w:t>
      </w:r>
      <w:r>
        <w:rPr>
          <w:b/>
        </w:rPr>
        <w:t xml:space="preserve">not significant</w:t>
      </w:r>
    </w:p>
    <w:p>
      <w:pPr>
        <w:pStyle w:val="TableCaption"/>
      </w:pPr>
      <w:r>
        <w:t xml:space="preserve">Fisher’s Exact Test for Count Data:</w:t>
      </w:r>
      <w:r>
        <w:t xml:space="preserve"> </w:t>
      </w:r>
      <w:r>
        <w:rPr>
          <w:rStyle w:val="VerbatimChar"/>
        </w:rPr>
        <w:t xml:space="preserve">partic_groups2[c("wnol", "wlout"), c("Nbof_ahas_solvers", "Nbof_noahas_solvers")]</w:t>
      </w:r>
    </w:p>
    <w:tbl>
      <w:tblPr>
        <w:tblStyle w:val="Table"/>
        <w:tblW w:type="pct" w:w="3333.333333333333"/>
        <w:tblLook w:firstRow="1"/>
        <w:tblCaption w:val="Fisher’s Exact Test for Count Data: partic_groups2[c(&quot;wnol&quot;, &quot;wlout&quot;), c(&quot;Nbof_ahas_solvers&quot;, &quot;Nbof_noahas_solvers&quot;)]"/>
      </w:tblPr>
      <w:tblGrid>
        <w:gridCol w:w="110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0.3994</w:t>
            </w:r>
          </w:p>
        </w:tc>
        <w:tc>
          <w:p>
            <w:pPr>
              <w:pStyle w:val="Compact"/>
              <w:jc w:val="center"/>
            </w:pPr>
            <w:r>
              <w:t xml:space="preserve">two.sided</w:t>
            </w:r>
          </w:p>
        </w:tc>
        <w:tc>
          <w:p>
            <w:pPr>
              <w:pStyle w:val="Compact"/>
              <w:jc w:val="center"/>
            </w:pPr>
            <w:r>
              <w:t xml:space="preserve">3.572</w:t>
            </w:r>
          </w:p>
        </w:tc>
      </w:tr>
    </w:tbl>
    <w:p>
      <w:pPr>
        <w:pStyle w:val="Heading2"/>
      </w:pPr>
      <w:bookmarkStart w:id="36" w:name="described-rules---experiment-1"/>
      <w:r>
        <w:t xml:space="preserve">Described rules - Experiment 1</w:t>
      </w:r>
      <w:bookmarkEnd w:id="36"/>
    </w:p>
    <w:p>
      <w:pPr>
        <w:pStyle w:val="Heading1"/>
      </w:pPr>
      <w:bookmarkStart w:id="37" w:name="results---experiment-2"/>
      <w:r>
        <w:t xml:space="preserve">Results - Experiment 2</w:t>
      </w:r>
      <w:bookmarkEnd w:id="37"/>
    </w:p>
    <w:p>
      <w:pPr>
        <w:pStyle w:val="Heading2"/>
      </w:pPr>
      <w:bookmarkStart w:id="38" w:name="difficulty-of-the-task---experiment-2"/>
      <w:r>
        <w:t xml:space="preserve">Difficulty of the task - Experiment 2</w:t>
      </w:r>
      <w:bookmarkEnd w:id="38"/>
    </w:p>
    <w:p>
      <w:pPr>
        <w:pStyle w:val="FirstParagraph"/>
      </w:pPr>
      <w:r>
        <w:t xml:space="preserve">Our predictions about the difficulty of the task were:</w:t>
      </w:r>
    </w:p>
    <w:p>
      <w:pPr>
        <w:pStyle w:val="Compact"/>
        <w:numPr>
          <w:numId w:val="1004"/>
          <w:ilvl w:val="0"/>
        </w:numPr>
      </w:pPr>
      <w:r>
        <w:t xml:space="preserve">WNOLFS &lt; WNOLA: The sequence rule can be used in both conditions but the exclusion rule can only be used in the WNOLFS condition, which might help.</w:t>
      </w:r>
    </w:p>
    <w:p>
      <w:pPr>
        <w:pStyle w:val="Compact"/>
        <w:numPr>
          <w:numId w:val="1004"/>
          <w:ilvl w:val="0"/>
        </w:numPr>
      </w:pPr>
      <w:r>
        <w:t xml:space="preserve">MOONSQ &lt; WNOLA: Only the sequence rule can be used in both conditions. Removing distracting visual cues makes finding the sequence rule easier</w:t>
      </w:r>
    </w:p>
    <w:p>
      <w:pPr>
        <w:pStyle w:val="FirstParagraph"/>
      </w:pPr>
      <w:r>
        <w:t xml:space="preserve">We analyzed the contingency table containing the number of solvers and non-solvers in pairs of conditions with Fisher’s exact test. A p&lt;0.05 means that the row/column association is statistically significant:</w:t>
      </w:r>
    </w:p>
    <w:p>
      <w:pPr>
        <w:pStyle w:val="BodyText"/>
      </w:pPr>
      <w:r>
        <w:t xml:space="preserve">WNOLFS-WNOLA:</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partic_groups2[c("wnolfs", "wnola"), c("Nbof_solvers", "Nbof_nonsolvers")]</w:t>
      </w:r>
    </w:p>
    <w:tbl>
      <w:tblPr>
        <w:tblStyle w:val="Table"/>
        <w:tblW w:type="pct" w:w="3888.888888888889"/>
        <w:tblLook w:firstRow="1"/>
        <w:tblCaption w:val="Fisher’s Exact Test for Count Data: partic_groups2[c(&quot;wnolfs&quot;, &quot;wnola&quot;), c(&quot;Nbof_solvers&quot;, &quot;Nbof_non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1.213e-06 * * *</w:t>
            </w:r>
          </w:p>
        </w:tc>
        <w:tc>
          <w:p>
            <w:pPr>
              <w:pStyle w:val="Compact"/>
              <w:jc w:val="center"/>
            </w:pPr>
            <w:r>
              <w:t xml:space="preserve">two.sided</w:t>
            </w:r>
          </w:p>
        </w:tc>
        <w:tc>
          <w:p>
            <w:pPr>
              <w:pStyle w:val="Compact"/>
              <w:jc w:val="center"/>
            </w:pPr>
            <w:r>
              <w:t xml:space="preserve">6.829</w:t>
            </w:r>
          </w:p>
        </w:tc>
      </w:tr>
    </w:tbl>
    <w:p>
      <w:pPr>
        <w:pStyle w:val="BodyText"/>
      </w:pPr>
      <w:r>
        <w:t xml:space="preserve">MOONSQ-WNOLA:</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partic_groups2[c("moonsq", "wnola"), c("Nbof_solvers", "Nbof_nonsolvers")]</w:t>
      </w:r>
    </w:p>
    <w:tbl>
      <w:tblPr>
        <w:tblStyle w:val="Table"/>
        <w:tblW w:type="pct" w:w="3888.888888888889"/>
        <w:tblLook w:firstRow="1"/>
        <w:tblCaption w:val="Fisher’s Exact Test for Count Data: partic_groups2[c(&quot;moonsq&quot;, &quot;wnola&quot;), c(&quot;Nbof_solvers&quot;, &quot;Nbof_non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3.694e-07 * * *</w:t>
            </w:r>
          </w:p>
        </w:tc>
        <w:tc>
          <w:p>
            <w:pPr>
              <w:pStyle w:val="Compact"/>
              <w:jc w:val="center"/>
            </w:pPr>
            <w:r>
              <w:t xml:space="preserve">two.sided</w:t>
            </w:r>
          </w:p>
        </w:tc>
        <w:tc>
          <w:p>
            <w:pPr>
              <w:pStyle w:val="Compact"/>
              <w:jc w:val="center"/>
            </w:pPr>
            <w:r>
              <w:t xml:space="preserve">7.786</w:t>
            </w:r>
          </w:p>
        </w:tc>
      </w:tr>
    </w:tbl>
    <w:p>
      <w:pPr>
        <w:pStyle w:val="Heading2"/>
      </w:pPr>
      <w:bookmarkStart w:id="39" w:name="aha-feelings---experiment-2"/>
      <w:r>
        <w:t xml:space="preserve">Aha feelings - Experiment 2</w:t>
      </w:r>
      <w:bookmarkEnd w:id="39"/>
    </w:p>
    <w:p>
      <w:pPr>
        <w:pStyle w:val="FirstParagraph"/>
      </w:pPr>
      <w:r>
        <w:t xml:space="preserve">We compared all conditions of Experiment 2 with the control condition (Letters Only).</w:t>
      </w:r>
    </w:p>
    <w:p>
      <w:pPr>
        <w:pStyle w:val="BodyText"/>
      </w:pPr>
      <w:r>
        <w:t xml:space="preserve">WNOLFS &gt; WONLY:</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partic_groups2[c("wnolfs", "wonly"), c("Nbof_ahas_solvers", "Nbof_noahas_solvers")]</w:t>
      </w:r>
    </w:p>
    <w:tbl>
      <w:tblPr>
        <w:tblStyle w:val="Table"/>
        <w:tblW w:type="pct" w:w="3888.888888888889"/>
        <w:tblLook w:firstRow="1"/>
        <w:tblCaption w:val="Fisher’s Exact Test for Count Data: partic_groups2[c(&quot;wnolfs&quot;, &quot;wonly&quot;), c(&quot;Nbof_ahas_solvers&quot;, &quot;Nbof_noahas_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3.758e-05 * * *</w:t>
            </w:r>
          </w:p>
        </w:tc>
        <w:tc>
          <w:p>
            <w:pPr>
              <w:pStyle w:val="Compact"/>
              <w:jc w:val="center"/>
            </w:pPr>
            <w:r>
              <w:t xml:space="preserve">two.sided</w:t>
            </w:r>
          </w:p>
        </w:tc>
        <w:tc>
          <w:p>
            <w:pPr>
              <w:pStyle w:val="Compact"/>
              <w:jc w:val="center"/>
            </w:pPr>
            <w:r>
              <w:t xml:space="preserve">5.526</w:t>
            </w:r>
          </w:p>
        </w:tc>
      </w:tr>
    </w:tbl>
    <w:p>
      <w:pPr>
        <w:pStyle w:val="BodyText"/>
      </w:pPr>
      <w:r>
        <w:t xml:space="preserve">WNOLA &gt; WONLY:</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partic_groups2[c("wnola", "wonly"), c("Nbof_ahas_solvers", "Nbof_noahas_solvers")]</w:t>
      </w:r>
    </w:p>
    <w:tbl>
      <w:tblPr>
        <w:tblStyle w:val="Table"/>
        <w:tblW w:type="pct" w:w="3888.888888888889"/>
        <w:tblLook w:firstRow="1"/>
        <w:tblCaption w:val="Fisher’s Exact Test for Count Data: partic_groups2[c(&quot;wnola&quot;, &quot;wonly&quot;), c(&quot;Nbof_ahas_solvers&quot;, &quot;Nbof_noahas_solvers&quot;)]"/>
      </w:tblPr>
      <w:tblGrid>
        <w:gridCol w:w="198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0.0003037 * * *</w:t>
            </w:r>
          </w:p>
        </w:tc>
        <w:tc>
          <w:p>
            <w:pPr>
              <w:pStyle w:val="Compact"/>
              <w:jc w:val="center"/>
            </w:pPr>
            <w:r>
              <w:t xml:space="preserve">two.sided</w:t>
            </w:r>
          </w:p>
        </w:tc>
        <w:tc>
          <w:p>
            <w:pPr>
              <w:pStyle w:val="Compact"/>
              <w:jc w:val="center"/>
            </w:pPr>
            <w:r>
              <w:t xml:space="preserve">6.687</w:t>
            </w:r>
          </w:p>
        </w:tc>
      </w:tr>
    </w:tbl>
    <w:p>
      <w:pPr>
        <w:pStyle w:val="BodyText"/>
      </w:pPr>
      <w:r>
        <w:t xml:space="preserve">MOONSQ &gt; WONLY:</w:t>
      </w:r>
      <w:r>
        <w:t xml:space="preserve"> </w:t>
      </w:r>
      <w:r>
        <w:rPr>
          <w:b/>
        </w:rPr>
        <w:t xml:space="preserve">significant</w:t>
      </w:r>
    </w:p>
    <w:p>
      <w:pPr>
        <w:pStyle w:val="TableCaption"/>
      </w:pPr>
      <w:r>
        <w:t xml:space="preserve">Fisher’s Exact Test for Count Data:</w:t>
      </w:r>
      <w:r>
        <w:t xml:space="preserve"> </w:t>
      </w:r>
      <w:r>
        <w:rPr>
          <w:rStyle w:val="VerbatimChar"/>
        </w:rPr>
        <w:t xml:space="preserve">partic_groups2[c("moonsq", "wonly"), c("Nbof_ahas_solvers", "Nbof_noahas_solvers")]</w:t>
      </w:r>
    </w:p>
    <w:tbl>
      <w:tblPr>
        <w:tblStyle w:val="Table"/>
        <w:tblW w:type="pct" w:w="3472.222222222222"/>
        <w:tblLook w:firstRow="1"/>
        <w:tblCaption w:val="Fisher’s Exact Test for Count Data: partic_groups2[c(&quot;moonsq&quot;, &quot;wonly&quot;), c(&quot;Nbof_ahas_solvers&quot;, &quot;Nbof_noahas_solvers&quot;)]"/>
      </w:tblPr>
      <w:tblGrid>
        <w:gridCol w:w="1320"/>
        <w:gridCol w:w="2750"/>
        <w:gridCol w:w="1430"/>
      </w:tblGrid>
      <w:tr>
        <w:trPr>
          <w:cnfStyle w:firstRow="1"/>
        </w:trPr>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odds ratio</w:t>
            </w:r>
          </w:p>
        </w:tc>
      </w:tr>
      <w:tr>
        <w:tc>
          <w:p>
            <w:pPr>
              <w:pStyle w:val="Compact"/>
              <w:jc w:val="center"/>
            </w:pPr>
            <w:r>
              <w:t xml:space="preserve">0.02419 *</w:t>
            </w:r>
          </w:p>
        </w:tc>
        <w:tc>
          <w:p>
            <w:pPr>
              <w:pStyle w:val="Compact"/>
              <w:jc w:val="center"/>
            </w:pPr>
            <w:r>
              <w:t xml:space="preserve">two.sided</w:t>
            </w:r>
          </w:p>
        </w:tc>
        <w:tc>
          <w:p>
            <w:pPr>
              <w:pStyle w:val="Compact"/>
              <w:jc w:val="center"/>
            </w:pPr>
            <w:r>
              <w:t xml:space="preserve">2.273</w:t>
            </w:r>
          </w:p>
        </w:tc>
      </w:tr>
    </w:tbl>
    <w:p>
      <w:pPr>
        <w:pStyle w:val="Heading1"/>
      </w:pPr>
      <w:bookmarkStart w:id="40" w:name="other-ideas"/>
      <w:r>
        <w:t xml:space="preserve">Other ideas</w:t>
      </w:r>
      <w:bookmarkEnd w:id="40"/>
    </w:p>
    <w:p>
      <w:pPr>
        <w:pStyle w:val="Heading2"/>
      </w:pPr>
      <w:bookmarkStart w:id="41" w:name="language"/>
      <w:r>
        <w:t xml:space="preserve">Language</w:t>
      </w:r>
      <w:bookmarkEnd w:id="41"/>
    </w:p>
    <w:p>
      <w:pPr>
        <w:pStyle w:val="Heading2"/>
      </w:pPr>
      <w:bookmarkStart w:id="42" w:name="restructuring"/>
      <w:r>
        <w:t xml:space="preserve">Restructuring</w:t>
      </w:r>
      <w:bookmarkEnd w:id="42"/>
    </w:p>
    <w:p>
      <w:pPr>
        <w:pStyle w:val="FirstParagraph"/>
      </w:pPr>
      <w:r>
        <w:t xml:space="preserve">Sliding average for move time</w:t>
      </w:r>
    </w:p>
    <w:p>
      <w:pPr>
        <w:pStyle w:val="Heading2"/>
      </w:pPr>
      <w:bookmarkStart w:id="43" w:name="rules-used-matching-rule-for-moves"/>
      <w:r>
        <w:t xml:space="preserve">Rules used (matching rule for moves)</w:t>
      </w:r>
      <w:bookmarkEnd w:id="43"/>
    </w:p>
    <w:p>
      <w:pPr>
        <w:pStyle w:val="Heading2"/>
      </w:pPr>
      <w:bookmarkStart w:id="44" w:name="correct-rule"/>
      <w:r>
        <w:t xml:space="preserve">Correct rule</w:t>
      </w:r>
      <w:bookmarkEnd w:id="44"/>
    </w:p>
    <w:p>
      <w:pPr>
        <w:pStyle w:val="FirstParagraph"/>
      </w:pPr>
      <w:r>
        <w:t xml:space="preserve">Does it correlate with problem difficulty or aha</w:t>
      </w:r>
    </w:p>
    <w:p>
      <w:pPr>
        <w:pStyle w:val="Heading2"/>
      </w:pPr>
      <w:bookmarkStart w:id="45" w:name="aha-rate-of-non-solvers"/>
      <w:r>
        <w:t xml:space="preserve">Aha-rate of non solvers</w:t>
      </w:r>
      <w:bookmarkEnd w:id="45"/>
    </w:p>
    <w:p>
      <w:pPr>
        <w:pStyle w:val="FirstParagraph"/>
      </w:pPr>
      <w:r>
        <w:t xml:space="preserve">Correlates with difficulty?</w:t>
      </w:r>
      <w:r>
        <w:t xml:space="preserve"> </w:t>
      </w:r>
      <w:r>
        <w:t xml:space="preserve">Number of false ahas vs subjective difficulty or solution time</w:t>
      </w:r>
    </w:p>
    <w:p>
      <w:pPr>
        <w:pStyle w:val="BodyText"/>
      </w:pPr>
      <w:r>
        <w:drawing>
          <wp:inline>
            <wp:extent cx="4620126" cy="3696101"/>
            <wp:effectExtent b="0" l="0" r="0" t="0"/>
            <wp:docPr descr="" title="" id="1" name="Picture"/>
            <a:graphic>
              <a:graphicData uri="http://schemas.openxmlformats.org/drawingml/2006/picture">
                <pic:pic>
                  <pic:nvPicPr>
                    <pic:cNvPr descr="WCST_dataanalysis_Step2_files/figure-docx/Correlations-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CST_dataanalysis_Step2_files/figure-docx/Correlations-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CST_dataanalysis_Step2_files/figure-docx/Correlations-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9" w:name="goal-of-the-experiment"/>
      <w:r>
        <w:t xml:space="preserve">Goal of the experiment</w:t>
      </w:r>
      <w:bookmarkEnd w:id="49"/>
    </w:p>
    <w:p>
      <w:pPr>
        <w:pStyle w:val="Heading2"/>
      </w:pPr>
      <w:bookmarkStart w:id="50" w:name="participant-plots"/>
      <w:r>
        <w:t xml:space="preserve">Participant plots</w:t>
      </w:r>
      <w:bookmarkEnd w:id="50"/>
    </w:p>
    <w:p>
      <w:pPr>
        <w:pStyle w:val="FirstParagraph"/>
      </w:pPr>
      <w:r>
        <w:t xml:space="preserve">We can save plots for each participant, represeting their strategies.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WCST data analysis - Step 2</dc:title>
  <dc:creator/>
  <cp:keywords/>
  <dcterms:created xsi:type="dcterms:W3CDTF">2021-07-20T12:07:10Z</dcterms:created>
  <dcterms:modified xsi:type="dcterms:W3CDTF">2021-07-20T12:07:10Z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