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WCST</w:t>
      </w:r>
      <w:r>
        <w:t xml:space="preserve"> </w:t>
      </w:r>
      <w:r>
        <w:t xml:space="preserve">data</w:t>
      </w:r>
      <w:r>
        <w:t xml:space="preserve"> </w:t>
      </w:r>
      <w:r>
        <w:t xml:space="preserve">analysis</w:t>
      </w:r>
      <w:r>
        <w:t xml:space="preserve"> </w:t>
      </w:r>
      <w:r>
        <w:t xml:space="preserve">-</w:t>
      </w:r>
      <w:r>
        <w:t xml:space="preserve"> </w:t>
      </w:r>
      <w:r>
        <w:t xml:space="preserve">Step</w:t>
      </w:r>
      <w:r>
        <w:t xml:space="preserve"> </w:t>
      </w:r>
      <w:r>
        <w:t xml:space="preserve">2</w:t>
      </w:r>
    </w:p>
    <w:p>
      <w:pPr>
        <w:pStyle w:val="Heading1"/>
      </w:pPr>
      <w:bookmarkStart w:id="20" w:name="manipulate-data"/>
      <w:r>
        <w:t xml:space="preserve">Manipulate data</w:t>
      </w:r>
      <w:bookmarkEnd w:id="20"/>
    </w:p>
    <w:p>
      <w:pPr>
        <w:pStyle w:val="Heading2"/>
      </w:pPr>
      <w:bookmarkStart w:id="21" w:name="read-data-frames-and-manually-rated-data"/>
      <w:r>
        <w:t xml:space="preserve">Read data frames and manually rated data</w:t>
      </w:r>
      <w:bookmarkEnd w:id="21"/>
    </w:p>
    <w:p>
      <w:pPr>
        <w:pStyle w:val="FirstParagraph"/>
      </w:pPr>
      <w:r>
        <w:t xml:space="preserve">We have loaded data frames saved by the Step 1 script, and merged the manually categorized free text answers about the rule with participantdata_inc.</w:t>
      </w:r>
    </w:p>
    <w:p>
      <w:pPr>
        <w:pStyle w:val="Heading2"/>
      </w:pPr>
      <w:bookmarkStart w:id="22" w:name="exclude-participants"/>
      <w:r>
        <w:t xml:space="preserve">Exclude participants</w:t>
      </w:r>
      <w:bookmarkEnd w:id="22"/>
    </w:p>
    <w:p>
      <w:pPr>
        <w:pStyle w:val="FirstParagraph"/>
      </w:pPr>
      <w:r>
        <w:t xml:space="preserve">We excluded extra participants if there were more than 78 in a condition.</w:t>
      </w:r>
    </w:p>
    <w:p>
      <w:pPr>
        <w:pStyle w:val="Heading2"/>
      </w:pPr>
      <w:bookmarkStart w:id="23" w:name="modify-data"/>
      <w:r>
        <w:t xml:space="preserve">Modify data</w:t>
      </w:r>
      <w:bookmarkEnd w:id="23"/>
    </w:p>
    <w:p>
      <w:pPr>
        <w:pStyle w:val="FirstParagraph"/>
      </w:pPr>
      <w:r>
        <w:t xml:space="preserve">Diffifulty of taks was supposed to be a number 1-10, but it was also a free text answer, and some participants went outside the recommended range (e.g.: difficulty = 50). We capped these numbers to 10.</w:t>
      </w:r>
    </w:p>
    <w:p>
      <w:pPr>
        <w:pStyle w:val="Heading1"/>
      </w:pPr>
      <w:bookmarkStart w:id="24" w:name="descriptive-statistics"/>
      <w:r>
        <w:t xml:space="preserve">Descriptive statistics</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Number of participants</w:t>
            </w:r>
          </w:p>
        </w:tc>
        <w:tc>
          <w:tcPr>
            <w:tcBorders>
              <w:bottom w:val="single"/>
            </w:tcBorders>
            <w:vAlign w:val="bottom"/>
          </w:tcPr>
          <w:p>
            <w:pPr>
              <w:pStyle w:val="Compact"/>
              <w:jc w:val="right"/>
            </w:pPr>
            <w:r>
              <w:t xml:space="preserve">Aha rate of solvers</w:t>
            </w:r>
          </w:p>
        </w:tc>
        <w:tc>
          <w:tcPr>
            <w:tcBorders>
              <w:bottom w:val="single"/>
            </w:tcBorders>
            <w:vAlign w:val="bottom"/>
          </w:tcPr>
          <w:p>
            <w:pPr>
              <w:pStyle w:val="Compact"/>
              <w:jc w:val="right"/>
            </w:pPr>
            <w:r>
              <w:t xml:space="preserve">Failure rate</w:t>
            </w:r>
          </w:p>
        </w:tc>
        <w:tc>
          <w:tcPr>
            <w:tcBorders>
              <w:bottom w:val="single"/>
            </w:tcBorders>
            <w:vAlign w:val="bottom"/>
          </w:tcPr>
          <w:p>
            <w:pPr>
              <w:pStyle w:val="Compact"/>
              <w:jc w:val="right"/>
            </w:pPr>
            <w:r>
              <w:t xml:space="preserve">Avg task time</w:t>
            </w:r>
          </w:p>
        </w:tc>
        <w:tc>
          <w:tcPr>
            <w:tcBorders>
              <w:bottom w:val="single"/>
            </w:tcBorders>
            <w:vAlign w:val="bottom"/>
          </w:tcPr>
          <w:p>
            <w:pPr>
              <w:pStyle w:val="Compact"/>
              <w:jc w:val="right"/>
            </w:pPr>
            <w:r>
              <w:t xml:space="preserve">Avg number of moves</w:t>
            </w:r>
          </w:p>
        </w:tc>
      </w:tr>
      <w:tr>
        <w:tc>
          <w:p>
            <w:pPr>
              <w:pStyle w:val="Compact"/>
              <w:jc w:val="left"/>
            </w:pPr>
            <w:r>
              <w:t xml:space="preserve">LettersIn</w:t>
            </w:r>
          </w:p>
        </w:tc>
        <w:tc>
          <w:p>
            <w:pPr>
              <w:pStyle w:val="Compact"/>
              <w:jc w:val="right"/>
            </w:pPr>
            <w:r>
              <w:t xml:space="preserve">78</w:t>
            </w:r>
          </w:p>
        </w:tc>
        <w:tc>
          <w:p>
            <w:pPr>
              <w:pStyle w:val="Compact"/>
              <w:jc w:val="right"/>
            </w:pPr>
            <w:r>
              <w:t xml:space="preserve">0.821</w:t>
            </w:r>
          </w:p>
        </w:tc>
        <w:tc>
          <w:p>
            <w:pPr>
              <w:pStyle w:val="Compact"/>
              <w:jc w:val="right"/>
            </w:pPr>
            <w:r>
              <w:t xml:space="preserve">0.000</w:t>
            </w:r>
          </w:p>
        </w:tc>
        <w:tc>
          <w:p>
            <w:pPr>
              <w:pStyle w:val="Compact"/>
              <w:jc w:val="right"/>
            </w:pPr>
            <w:r>
              <w:t xml:space="preserve">1.605</w:t>
            </w:r>
          </w:p>
        </w:tc>
        <w:tc>
          <w:p>
            <w:pPr>
              <w:pStyle w:val="Compact"/>
              <w:jc w:val="right"/>
            </w:pPr>
            <w:r>
              <w:t xml:space="preserve">31.962</w:t>
            </w:r>
          </w:p>
        </w:tc>
      </w:tr>
      <w:tr>
        <w:tc>
          <w:p>
            <w:pPr>
              <w:pStyle w:val="Compact"/>
              <w:jc w:val="left"/>
            </w:pPr>
            <w:r>
              <w:t xml:space="preserve">LettersOut</w:t>
            </w:r>
          </w:p>
        </w:tc>
        <w:tc>
          <w:p>
            <w:pPr>
              <w:pStyle w:val="Compact"/>
              <w:jc w:val="right"/>
            </w:pPr>
            <w:r>
              <w:t xml:space="preserve">78</w:t>
            </w:r>
          </w:p>
        </w:tc>
        <w:tc>
          <w:p>
            <w:pPr>
              <w:pStyle w:val="Compact"/>
              <w:jc w:val="right"/>
            </w:pPr>
            <w:r>
              <w:t xml:space="preserve">0.932</w:t>
            </w:r>
          </w:p>
        </w:tc>
        <w:tc>
          <w:p>
            <w:pPr>
              <w:pStyle w:val="Compact"/>
              <w:jc w:val="right"/>
            </w:pPr>
            <w:r>
              <w:t xml:space="preserve">0.064</w:t>
            </w:r>
          </w:p>
        </w:tc>
        <w:tc>
          <w:p>
            <w:pPr>
              <w:pStyle w:val="Compact"/>
              <w:jc w:val="right"/>
            </w:pPr>
            <w:r>
              <w:t xml:space="preserve">4.286</w:t>
            </w:r>
          </w:p>
        </w:tc>
        <w:tc>
          <w:p>
            <w:pPr>
              <w:pStyle w:val="Compact"/>
              <w:jc w:val="right"/>
            </w:pPr>
            <w:r>
              <w:t xml:space="preserve">68.756</w:t>
            </w:r>
          </w:p>
        </w:tc>
      </w:tr>
      <w:tr>
        <w:tc>
          <w:p>
            <w:pPr>
              <w:pStyle w:val="Compact"/>
              <w:jc w:val="left"/>
            </w:pPr>
            <w:r>
              <w:t xml:space="preserve">NoLetters</w:t>
            </w:r>
          </w:p>
        </w:tc>
        <w:tc>
          <w:p>
            <w:pPr>
              <w:pStyle w:val="Compact"/>
              <w:jc w:val="right"/>
            </w:pPr>
            <w:r>
              <w:t xml:space="preserve">78</w:t>
            </w:r>
          </w:p>
        </w:tc>
        <w:tc>
          <w:p>
            <w:pPr>
              <w:pStyle w:val="Compact"/>
              <w:jc w:val="right"/>
            </w:pPr>
            <w:r>
              <w:t xml:space="preserve">0.980</w:t>
            </w:r>
          </w:p>
        </w:tc>
        <w:tc>
          <w:p>
            <w:pPr>
              <w:pStyle w:val="Compact"/>
              <w:jc w:val="right"/>
            </w:pPr>
            <w:r>
              <w:t xml:space="preserve">0.359</w:t>
            </w:r>
          </w:p>
        </w:tc>
        <w:tc>
          <w:p>
            <w:pPr>
              <w:pStyle w:val="Compact"/>
              <w:jc w:val="right"/>
            </w:pPr>
            <w:r>
              <w:t xml:space="preserve">8.985</w:t>
            </w:r>
          </w:p>
        </w:tc>
        <w:tc>
          <w:p>
            <w:pPr>
              <w:pStyle w:val="Compact"/>
              <w:jc w:val="right"/>
            </w:pPr>
            <w:r>
              <w:t xml:space="preserve">166.500</w:t>
            </w:r>
          </w:p>
        </w:tc>
      </w:tr>
      <w:tr>
        <w:tc>
          <w:p>
            <w:pPr>
              <w:pStyle w:val="Compact"/>
              <w:jc w:val="left"/>
            </w:pPr>
            <w:r>
              <w:t xml:space="preserve">FixedSequence</w:t>
            </w:r>
          </w:p>
        </w:tc>
        <w:tc>
          <w:p>
            <w:pPr>
              <w:pStyle w:val="Compact"/>
              <w:jc w:val="right"/>
            </w:pPr>
            <w:r>
              <w:t xml:space="preserve">78</w:t>
            </w:r>
          </w:p>
        </w:tc>
        <w:tc>
          <w:p>
            <w:pPr>
              <w:pStyle w:val="Compact"/>
              <w:jc w:val="right"/>
            </w:pPr>
            <w:r>
              <w:t xml:space="preserve">0.884</w:t>
            </w:r>
          </w:p>
        </w:tc>
        <w:tc>
          <w:p>
            <w:pPr>
              <w:pStyle w:val="Compact"/>
              <w:jc w:val="right"/>
            </w:pPr>
            <w:r>
              <w:t xml:space="preserve">0.115</w:t>
            </w:r>
          </w:p>
        </w:tc>
        <w:tc>
          <w:p>
            <w:pPr>
              <w:pStyle w:val="Compact"/>
              <w:jc w:val="right"/>
            </w:pPr>
            <w:r>
              <w:t xml:space="preserve">6.606</w:t>
            </w:r>
          </w:p>
        </w:tc>
        <w:tc>
          <w:p>
            <w:pPr>
              <w:pStyle w:val="Compact"/>
              <w:jc w:val="right"/>
            </w:pPr>
            <w:r>
              <w:t xml:space="preserve">124.962</w:t>
            </w:r>
          </w:p>
        </w:tc>
      </w:tr>
      <w:tr>
        <w:tc>
          <w:p>
            <w:pPr>
              <w:pStyle w:val="Compact"/>
              <w:jc w:val="left"/>
            </w:pPr>
            <w:r>
              <w:t xml:space="preserve">AmbiguousCards</w:t>
            </w:r>
          </w:p>
        </w:tc>
        <w:tc>
          <w:p>
            <w:pPr>
              <w:pStyle w:val="Compact"/>
              <w:jc w:val="right"/>
            </w:pPr>
            <w:r>
              <w:t xml:space="preserve">78</w:t>
            </w:r>
          </w:p>
        </w:tc>
        <w:tc>
          <w:p>
            <w:pPr>
              <w:pStyle w:val="Compact"/>
              <w:jc w:val="right"/>
            </w:pPr>
            <w:r>
              <w:t xml:space="preserve">0.900</w:t>
            </w:r>
          </w:p>
        </w:tc>
        <w:tc>
          <w:p>
            <w:pPr>
              <w:pStyle w:val="Compact"/>
              <w:jc w:val="right"/>
            </w:pPr>
            <w:r>
              <w:t xml:space="preserve">0.487</w:t>
            </w:r>
          </w:p>
        </w:tc>
        <w:tc>
          <w:p>
            <w:pPr>
              <w:pStyle w:val="Compact"/>
              <w:jc w:val="right"/>
            </w:pPr>
            <w:r>
              <w:t xml:space="preserve">10.360</w:t>
            </w:r>
          </w:p>
        </w:tc>
        <w:tc>
          <w:p>
            <w:pPr>
              <w:pStyle w:val="Compact"/>
              <w:jc w:val="right"/>
            </w:pPr>
            <w:r>
              <w:t xml:space="preserve">236.103</w:t>
            </w:r>
          </w:p>
        </w:tc>
      </w:tr>
      <w:tr>
        <w:tc>
          <w:p>
            <w:pPr>
              <w:pStyle w:val="Compact"/>
              <w:jc w:val="left"/>
            </w:pPr>
            <w:r>
              <w:t xml:space="preserve">Moon</w:t>
            </w:r>
          </w:p>
        </w:tc>
        <w:tc>
          <w:p>
            <w:pPr>
              <w:pStyle w:val="Compact"/>
              <w:jc w:val="right"/>
            </w:pPr>
            <w:r>
              <w:t xml:space="preserve">78</w:t>
            </w:r>
          </w:p>
        </w:tc>
        <w:tc>
          <w:p>
            <w:pPr>
              <w:pStyle w:val="Compact"/>
              <w:jc w:val="right"/>
            </w:pPr>
            <w:r>
              <w:t xml:space="preserve">0.757</w:t>
            </w:r>
          </w:p>
        </w:tc>
        <w:tc>
          <w:p>
            <w:pPr>
              <w:pStyle w:val="Compact"/>
              <w:jc w:val="right"/>
            </w:pPr>
            <w:r>
              <w:t xml:space="preserve">0.103</w:t>
            </w:r>
          </w:p>
        </w:tc>
        <w:tc>
          <w:p>
            <w:pPr>
              <w:pStyle w:val="Compact"/>
              <w:jc w:val="right"/>
            </w:pPr>
            <w:r>
              <w:t xml:space="preserve">4.672</w:t>
            </w:r>
          </w:p>
        </w:tc>
        <w:tc>
          <w:p>
            <w:pPr>
              <w:pStyle w:val="Compact"/>
              <w:jc w:val="right"/>
            </w:pPr>
            <w:r>
              <w:t xml:space="preserve">94.923</w:t>
            </w:r>
          </w:p>
        </w:tc>
      </w:tr>
      <w:tr>
        <w:tc>
          <w:p>
            <w:pPr>
              <w:pStyle w:val="Compact"/>
              <w:jc w:val="left"/>
            </w:pPr>
            <w:r>
              <w:t xml:space="preserve">LettersOnly</w:t>
            </w:r>
          </w:p>
        </w:tc>
        <w:tc>
          <w:p>
            <w:pPr>
              <w:pStyle w:val="Compact"/>
              <w:jc w:val="right"/>
            </w:pPr>
            <w:r>
              <w:t xml:space="preserve">78</w:t>
            </w:r>
          </w:p>
        </w:tc>
        <w:tc>
          <w:p>
            <w:pPr>
              <w:pStyle w:val="Compact"/>
              <w:jc w:val="right"/>
            </w:pPr>
            <w:r>
              <w:t xml:space="preserve">0.577</w:t>
            </w:r>
          </w:p>
        </w:tc>
        <w:tc>
          <w:p>
            <w:pPr>
              <w:pStyle w:val="Compact"/>
              <w:jc w:val="right"/>
            </w:pPr>
            <w:r>
              <w:t xml:space="preserve">0.000</w:t>
            </w:r>
          </w:p>
        </w:tc>
        <w:tc>
          <w:p>
            <w:pPr>
              <w:pStyle w:val="Compact"/>
              <w:jc w:val="right"/>
            </w:pPr>
            <w:r>
              <w:t xml:space="preserve">0.846</w:t>
            </w:r>
          </w:p>
        </w:tc>
        <w:tc>
          <w:p>
            <w:pPr>
              <w:pStyle w:val="Compact"/>
              <w:jc w:val="right"/>
            </w:pPr>
            <w:r>
              <w:t xml:space="preserve">19.295</w:t>
            </w:r>
          </w:p>
        </w:tc>
      </w:tr>
    </w:tbl>
    <w:p>
      <w:pPr>
        <w:pStyle w:val="Heading1"/>
      </w:pPr>
      <w:bookmarkStart w:id="25" w:name="statistical-data-analysis-experiment-1"/>
      <w:r>
        <w:t xml:space="preserve">Statistical data analysis: Experiment 1</w:t>
      </w:r>
      <w:bookmarkEnd w:id="25"/>
    </w:p>
    <w:p>
      <w:pPr>
        <w:pStyle w:val="Heading2"/>
      </w:pPr>
      <w:bookmarkStart w:id="26" w:name="difficulty-of-the-task"/>
      <w:r>
        <w:t xml:space="preserve">Difficulty of the task</w:t>
      </w:r>
      <w:bookmarkEnd w:id="26"/>
    </w:p>
    <w:p>
      <w:pPr>
        <w:pStyle w:val="FirstParagraph"/>
      </w:pPr>
      <w:r>
        <w:t xml:space="preserve">We compared the difficulty of the task in different conditions</w:t>
      </w:r>
    </w:p>
    <w:p>
      <w:pPr>
        <w:pStyle w:val="Compact"/>
        <w:numPr>
          <w:numId w:val="1001"/>
          <w:ilvl w:val="0"/>
        </w:numPr>
      </w:pPr>
      <w:r>
        <w:t xml:space="preserve">first by a Fisher’s exact test on the number of solvers</w:t>
      </w:r>
    </w:p>
    <w:p>
      <w:pPr>
        <w:pStyle w:val="Compact"/>
        <w:numPr>
          <w:numId w:val="1001"/>
          <w:ilvl w:val="0"/>
        </w:numPr>
      </w:pPr>
      <w:r>
        <w:t xml:space="preserve">if the Fisher’s exact test test is not significant, we will compare task time, because it is possible that the number of solvers does not differ in the two conditions but still, if task time is significantly lower in one of the conditions that means that those who solved it, solved it faster. For comparing task time, we will use ANOVA if the data is normally distributed, or a two-sample Wilcoxon test (same as the Mann-Whitney test) if it is not.</w:t>
      </w:r>
    </w:p>
    <w:p>
      <w:pPr>
        <w:pStyle w:val="Heading3"/>
      </w:pPr>
      <w:bookmarkStart w:id="27" w:name="solution-rate"/>
      <w:r>
        <w:t xml:space="preserve">Solution rate</w:t>
      </w:r>
      <w:bookmarkEnd w:id="27"/>
    </w:p>
    <w:p>
      <w:pPr>
        <w:pStyle w:val="FirstParagraph"/>
      </w:pPr>
      <w:r>
        <w:t xml:space="preserve">We analyzed the contingency table containing the number of solvers and non-solvers in pairs of conditions. A p&lt;0.05 means that the row/column association is statistically significant.</w:t>
      </w:r>
    </w:p>
    <w:p>
      <w:pPr>
        <w:pStyle w:val="BodyText"/>
      </w:pPr>
      <w:r>
        <w:t xml:space="preserve">Experiment 1: WLIN &lt; WLOUT &lt; WNOL</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Solution%20rate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WLIN-WLOUT: p = 0.0585073</w:t>
      </w:r>
      <w:r>
        <w:t xml:space="preserve"> </w:t>
      </w:r>
      <w:r>
        <w:t xml:space="preserve">WLOUT-WNOL: p = 8.2057452</w:t>
      </w:r>
      <w:r>
        <w:t xml:space="preserve">10^{-6}</w:t>
      </w:r>
    </w:p>
    <w:p>
      <w:pPr>
        <w:pStyle w:val="Heading3"/>
      </w:pPr>
      <w:bookmarkStart w:id="29" w:name="solution-time"/>
      <w:r>
        <w:t xml:space="preserve">Solution time</w:t>
      </w:r>
      <w:bookmarkEnd w:id="29"/>
    </w:p>
    <w:p>
      <w:pPr>
        <w:pStyle w:val="FirstParagraph"/>
      </w:pPr>
      <w:r>
        <w:t xml:space="preserve">We checked whether the data was normally distributed with Kolmogorov-Smirnoff test:</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Solution%20tim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CST_dataanalysis_Step2_files/figure-docx/Solution%20time-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If the data is normally distributed, we use ANOVA, if it is not, we use Wilcoxon.</w:t>
      </w:r>
    </w:p>
    <w:p>
      <w:pPr>
        <w:pStyle w:val="Heading3"/>
      </w:pPr>
      <w:bookmarkStart w:id="32" w:name="binary-logistic-regression"/>
      <w:r>
        <w:t xml:space="preserve">Binary logistic regression</w:t>
      </w:r>
      <w:bookmarkEnd w:id="32"/>
    </w:p>
    <w:p>
      <w:pPr>
        <w:pStyle w:val="Heading2"/>
      </w:pPr>
      <w:bookmarkStart w:id="33" w:name="aha-feelings-fishers-exact-test"/>
      <w:r>
        <w:t xml:space="preserve">Aha feelings: Fisher’s exact test</w:t>
      </w:r>
      <w:bookmarkEnd w:id="33"/>
    </w:p>
    <w:p>
      <w:pPr>
        <w:pStyle w:val="FirstParagraph"/>
      </w:pPr>
      <w:r>
        <w:drawing>
          <wp:inline>
            <wp:extent cx="4620126" cy="3696101"/>
            <wp:effectExtent b="0" l="0" r="0" t="0"/>
            <wp:docPr descr="" title="" id="1" name="Picture"/>
            <a:graphic>
              <a:graphicData uri="http://schemas.openxmlformats.org/drawingml/2006/picture">
                <pic:pic>
                  <pic:nvPicPr>
                    <pic:cNvPr descr="WCST_dataanalysis_Step2_files/figure-docx/Aha-rating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statistical-data-analysis-experiment-2"/>
      <w:r>
        <w:t xml:space="preserve">Statistical data analysis: Experiment 2</w:t>
      </w:r>
      <w:bookmarkEnd w:id="35"/>
    </w:p>
    <w:p>
      <w:pPr>
        <w:pStyle w:val="FirstParagraph"/>
      </w:pPr>
      <w:r>
        <w:t xml:space="preserve">MOONSQ &lt; WNOLA: Removing distracting visual cues makes finding the sequence rule easier</w:t>
      </w:r>
      <w:r>
        <w:t xml:space="preserve"> </w:t>
      </w:r>
      <w:r>
        <w:t xml:space="preserve">WNOLFS &lt; WNOLA: The sequence rule can be used in both conditions but the exclusion rule can only be used in the WNOLFS condition, which might help.</w:t>
      </w:r>
    </w:p>
    <w:p>
      <w:pPr>
        <w:pStyle w:val="BodyText"/>
      </w:pPr>
      <w:r>
        <w:drawing>
          <wp:inline>
            <wp:extent cx="4620126" cy="3696101"/>
            <wp:effectExtent b="0" l="0" r="0" t="0"/>
            <wp:docPr descr="" title="" id="1" name="Picture"/>
            <a:graphic>
              <a:graphicData uri="http://schemas.openxmlformats.org/drawingml/2006/picture">
                <pic:pic>
                  <pic:nvPicPr>
                    <pic:cNvPr descr="WCST_dataanalysis_Step2_files/figure-docx/Solution%20rates%20-%20Experiment%20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partic_groups2[c("wnolfs", "wnola"), c("Nbof_solvers", "Nbof_nonsolvers")]</w:t>
      </w:r>
      <w:r>
        <w:br/>
      </w:r>
      <w:r>
        <w:rPr>
          <w:rStyle w:val="VerbatimChar"/>
        </w:rPr>
        <w:t xml:space="preserve">## p-value = 5.552e-07</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3.029108 18.713246</w:t>
      </w:r>
      <w:r>
        <w:br/>
      </w:r>
      <w:r>
        <w:rPr>
          <w:rStyle w:val="VerbatimChar"/>
        </w:rPr>
        <w:t xml:space="preserve">## sample estimates:</w:t>
      </w:r>
      <w:r>
        <w:br/>
      </w:r>
      <w:r>
        <w:rPr>
          <w:rStyle w:val="VerbatimChar"/>
        </w:rPr>
        <w:t xml:space="preserve">## odds ratio </w:t>
      </w:r>
      <w:r>
        <w:br/>
      </w:r>
      <w:r>
        <w:rPr>
          <w:rStyle w:val="VerbatimChar"/>
        </w:rPr>
        <w:t xml:space="preserve">##   7.185509</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partic_groups2[c("moonsq", "wnola"), c("Nbof_solvers", "Nbof_nonsolvers")]</w:t>
      </w:r>
      <w:r>
        <w:br/>
      </w:r>
      <w:r>
        <w:rPr>
          <w:rStyle w:val="VerbatimChar"/>
        </w:rPr>
        <w:t xml:space="preserve">## p-value = 1.641e-07</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3.352528 22.396910</w:t>
      </w:r>
      <w:r>
        <w:br/>
      </w:r>
      <w:r>
        <w:rPr>
          <w:rStyle w:val="VerbatimChar"/>
        </w:rPr>
        <w:t xml:space="preserve">## sample estimates:</w:t>
      </w:r>
      <w:r>
        <w:br/>
      </w:r>
      <w:r>
        <w:rPr>
          <w:rStyle w:val="VerbatimChar"/>
        </w:rPr>
        <w:t xml:space="preserve">## odds ratio </w:t>
      </w:r>
      <w:r>
        <w:br/>
      </w:r>
      <w:r>
        <w:rPr>
          <w:rStyle w:val="VerbatimChar"/>
        </w:rPr>
        <w:t xml:space="preserve">##   8.192766</w:t>
      </w:r>
    </w:p>
    <w:p>
      <w:pPr>
        <w:pStyle w:val="Heading2"/>
      </w:pPr>
      <w:bookmarkStart w:id="37" w:name="other"/>
      <w:r>
        <w:t xml:space="preserve">Other</w:t>
      </w:r>
      <w:bookmarkEnd w:id="37"/>
    </w:p>
    <w:p>
      <w:pPr>
        <w:pStyle w:val="Heading3"/>
      </w:pPr>
      <w:bookmarkStart w:id="38" w:name="language"/>
      <w:r>
        <w:t xml:space="preserve">Language</w:t>
      </w:r>
      <w:bookmarkEnd w:id="38"/>
    </w:p>
    <w:p>
      <w:pPr>
        <w:pStyle w:val="Heading3"/>
      </w:pPr>
      <w:bookmarkStart w:id="39" w:name="restructuring"/>
      <w:r>
        <w:t xml:space="preserve">Restructuring</w:t>
      </w:r>
      <w:bookmarkEnd w:id="39"/>
    </w:p>
    <w:p>
      <w:pPr>
        <w:pStyle w:val="FirstParagraph"/>
      </w:pPr>
      <w:r>
        <w:t xml:space="preserve">Sliding average for move time</w:t>
      </w:r>
    </w:p>
    <w:p>
      <w:pPr>
        <w:pStyle w:val="Heading3"/>
      </w:pPr>
      <w:bookmarkStart w:id="40" w:name="rules-used"/>
      <w:r>
        <w:t xml:space="preserve">Rules used</w:t>
      </w:r>
      <w:bookmarkEnd w:id="4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WCST data analysis - Step 2</dc:title>
  <dc:creator/>
  <cp:keywords/>
  <dcterms:created xsi:type="dcterms:W3CDTF">2021-06-17T13:00:25Z</dcterms:created>
  <dcterms:modified xsi:type="dcterms:W3CDTF">2021-06-17T13:00:25Z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