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i w:val="0"/>
        </w:rPr>
        <w:t>ФЕДЕРАЛЬНОЕ ГОСУДАРСТВЕННОЕ АВТОНОМНОЕ ОБРАЗОВАТЕЛЬНОЕ УЧРЕЖДЕНИЕ ВЫСШЕГО ОБРАЗОВАНИЯ</w:t>
      </w:r>
    </w:p>
    <w:p>
      <w:pPr>
        <w:ind w:firstLine="0"/>
        <w:jc w:val="center"/>
      </w:pPr>
      <w:r>
        <w:rPr>
          <w:b/>
          <w:i w:val="0"/>
        </w:rPr>
        <w:t>«НАЦИОНАЛЬНЫЙ ИССЛЕДОВАТЕЛЬСКИЙ УНИВЕРСИТЕТ</w:t>
      </w:r>
    </w:p>
    <w:p>
      <w:pPr>
        <w:ind w:firstLine="0"/>
        <w:jc w:val="center"/>
      </w:pPr>
      <w:r>
        <w:rPr>
          <w:b/>
          <w:i w:val="0"/>
        </w:rPr>
        <w:t>«ВЫСШАЯ ШКОЛА ЭКОНОМИКИ»</w:t>
      </w:r>
    </w:p>
    <w:p>
      <w:pPr>
        <w:ind w:firstLine="0"/>
        <w:jc w:val="center"/>
      </w:pPr>
      <w:r>
        <w:rPr>
          <w:b w:val="0"/>
          <w:i w:val="0"/>
        </w:rPr>
      </w:r>
    </w:p>
    <w:p>
      <w:pPr>
        <w:ind w:firstLine="0"/>
        <w:jc w:val="center"/>
      </w:pPr>
      <w:r>
        <w:rPr>
          <w:b w:val="0"/>
          <w:i w:val="0"/>
        </w:rPr>
        <w:t>Московский институт электроники и математики им. А.Н. Тихонова</w:t>
      </w:r>
    </w:p>
    <w:p>
      <w:pPr>
        <w:ind w:firstLine="0"/>
        <w:jc w:val="center"/>
      </w:pPr>
      <w:r>
        <w:rPr>
          <w:b w:val="0"/>
          <w:i w:val="0"/>
        </w:rPr>
        <w:t>Факультет компьютерных наук</w:t>
      </w:r>
    </w:p>
    <w:p>
      <w:pPr>
        <w:ind w:firstLine="0"/>
        <w:jc w:val="center"/>
      </w:pPr>
      <w:r>
        <w:rPr>
          <w:b w:val="0"/>
          <w:i w:val="0"/>
        </w:rPr>
      </w:r>
    </w:p>
    <w:p>
      <w:pPr>
        <w:ind w:firstLine="0"/>
        <w:jc w:val="center"/>
      </w:pPr>
      <w:r>
        <w:rPr>
          <w:b w:val="0"/>
          <w:i w:val="0"/>
        </w:rPr>
      </w:r>
    </w:p>
    <w:p>
      <w:pPr>
        <w:ind w:firstLine="0"/>
        <w:jc w:val="center"/>
      </w:pPr>
      <w:r>
        <w:rPr>
          <w:b w:val="0"/>
          <w:i w:val="0"/>
        </w:rPr>
      </w:r>
    </w:p>
    <w:p>
      <w:pPr>
        <w:ind w:firstLine="0"/>
        <w:jc w:val="center"/>
      </w:pPr>
      <w:r>
        <w:rPr>
          <w:b w:val="0"/>
          <w:i w:val="0"/>
        </w:rPr>
        <w:t>Иванов Михаил Владимирович</w:t>
      </w:r>
    </w:p>
    <w:p>
      <w:pPr>
        <w:ind w:firstLine="0"/>
        <w:jc w:val="center"/>
      </w:pPr>
      <w:r>
        <w:rPr>
          <w:b w:val="0"/>
          <w:i w:val="0"/>
        </w:rPr>
        <w:t>Сосенков Федор Алексеевич</w:t>
      </w:r>
    </w:p>
    <w:p>
      <w:pPr>
        <w:ind w:firstLine="0"/>
        <w:jc w:val="center"/>
      </w:pPr>
      <w:r>
        <w:rPr>
          <w:b w:val="0"/>
          <w:i w:val="0"/>
        </w:rPr>
      </w:r>
    </w:p>
    <w:p>
      <w:pPr>
        <w:ind w:firstLine="0"/>
        <w:jc w:val="center"/>
      </w:pPr>
      <w:r>
        <w:rPr>
          <w:b/>
          <w:i w:val="0"/>
        </w:rPr>
        <w:t>ПРОГРАММНОЕ ОБЕСПЕЧЕНИЕ ДЛЯ РЕАЛИЗАЦИИ SPICE МОДЕЛИРОВАНИЯ ИНТЕГРАЛЬНЫХ МОП-ТРАНЗИСТОРОВ И КМОП СХЕМ С УЧЕТОМ ФАКТОРОВ СТАРЕНИЯ</w:t>
      </w:r>
    </w:p>
    <w:p>
      <w:pPr>
        <w:ind w:firstLine="0"/>
        <w:jc w:val="center"/>
      </w:pPr>
      <w:r>
        <w:rPr>
          <w:b w:val="0"/>
          <w:i w:val="0"/>
        </w:rPr>
      </w:r>
    </w:p>
    <w:p>
      <w:pPr>
        <w:ind w:firstLine="0"/>
        <w:jc w:val="center"/>
      </w:pPr>
      <w:r>
        <w:rPr>
          <w:b w:val="0"/>
          <w:i w:val="0"/>
        </w:rPr>
        <w:t>Выпускная квалификационная работа – БАКАЛАВРСКАЯ РАБОТА</w:t>
      </w:r>
    </w:p>
    <w:p>
      <w:pPr>
        <w:ind w:firstLine="0"/>
        <w:jc w:val="center"/>
      </w:pPr>
      <w:r>
        <w:rPr>
          <w:b w:val="0"/>
          <w:i w:val="0"/>
        </w:rPr>
        <w:t>по направлению подготовки 09.03.01 «Информатика и вычислительная техника»</w:t>
      </w:r>
    </w:p>
    <w:p>
      <w:pPr>
        <w:ind w:firstLine="0"/>
        <w:jc w:val="center"/>
      </w:pPr>
      <w:r>
        <w:rPr>
          <w:b w:val="0"/>
          <w:i w:val="0"/>
        </w:rPr>
        <w:t>образовательная программа «Информатика и вычислительная техника»</w:t>
      </w:r>
    </w:p>
    <w:p>
      <w:pPr>
        <w:ind w:firstLine="0"/>
        <w:jc w:val="center"/>
      </w:pPr>
      <w:r>
        <w:rPr>
          <w:b w:val="0"/>
          <w:i w:val="0"/>
        </w:rPr>
      </w:r>
    </w:p>
    <w:p>
      <w:pPr>
        <w:ind w:firstLine="0"/>
        <w:jc w:val="center"/>
      </w:pPr>
      <w:r>
        <w:rPr>
          <w:b w:val="0"/>
          <w:i w:val="0"/>
        </w:rPr>
      </w:r>
    </w:p>
    <w:p>
      <w:pPr>
        <w:ind w:firstLine="0"/>
        <w:jc w:val="center"/>
      </w:pPr>
      <w:r>
        <w:rPr>
          <w:b w:val="0"/>
          <w:i w:val="0"/>
        </w:rPr>
      </w:r>
    </w:p>
    <w:p>
      <w:pPr>
        <w:ind w:firstLine="0"/>
        <w:jc w:val="center"/>
      </w:pPr>
      <w:r>
        <w:rPr>
          <w:b w:val="0"/>
          <w:i w:val="0"/>
        </w:rPr>
      </w:r>
    </w:p>
    <w:p>
      <w:pPr>
        <w:ind w:firstLine="0"/>
        <w:jc w:val="center"/>
      </w:pPr>
      <w:r>
        <w:rPr>
          <w:b w:val="0"/>
          <w:i w:val="0"/>
        </w:rPr>
        <w:t>Руководитель</w:t>
      </w:r>
    </w:p>
    <w:p>
      <w:pPr>
        <w:ind w:firstLine="0"/>
        <w:jc w:val="center"/>
      </w:pPr>
      <w:r>
        <w:rPr>
          <w:b w:val="0"/>
          <w:i w:val="0"/>
        </w:rPr>
        <w:t>к.т.н. Попов Д.А.</w:t>
      </w:r>
    </w:p>
    <w:p>
      <w:pPr>
        <w:ind w:firstLine="0"/>
        <w:jc w:val="center"/>
      </w:pPr>
      <w:r>
        <w:rPr>
          <w:b w:val="0"/>
          <w:i w:val="0"/>
        </w:rPr>
      </w:r>
    </w:p>
    <w:p>
      <w:pPr>
        <w:ind w:firstLine="0"/>
        <w:jc w:val="center"/>
      </w:pPr>
      <w:r>
        <w:rPr>
          <w:b w:val="0"/>
          <w:i w:val="0"/>
        </w:rPr>
        <w:t>Студент</w:t>
      </w:r>
    </w:p>
    <w:p>
      <w:pPr>
        <w:ind w:firstLine="0"/>
        <w:jc w:val="center"/>
      </w:pPr>
      <w:r>
        <w:rPr>
          <w:b w:val="0"/>
          <w:i w:val="0"/>
        </w:rPr>
        <w:t>Иванов М.В.</w:t>
      </w:r>
    </w:p>
    <w:p>
      <w:pPr>
        <w:ind w:firstLine="0"/>
        <w:jc w:val="center"/>
      </w:pPr>
      <w:r>
        <w:rPr>
          <w:b w:val="0"/>
          <w:i w:val="0"/>
        </w:rPr>
      </w:r>
    </w:p>
    <w:p>
      <w:pPr>
        <w:ind w:firstLine="0"/>
        <w:jc w:val="center"/>
      </w:pPr>
      <w:r>
        <w:rPr>
          <w:b w:val="0"/>
          <w:i w:val="0"/>
        </w:rPr>
        <w:t>Студент</w:t>
      </w:r>
    </w:p>
    <w:p>
      <w:pPr>
        <w:ind w:firstLine="0"/>
        <w:jc w:val="center"/>
      </w:pPr>
      <w:r>
        <w:rPr>
          <w:b w:val="0"/>
          <w:i w:val="0"/>
        </w:rPr>
        <w:t>Сосенков Ф.А.</w:t>
      </w:r>
    </w:p>
    <w:p>
      <w:pPr>
        <w:ind w:firstLine="0"/>
        <w:jc w:val="center"/>
      </w:pPr>
      <w:r>
        <w:rPr>
          <w:b w:val="0"/>
          <w:i w:val="0"/>
        </w:rPr>
      </w:r>
    </w:p>
    <w:p>
      <w:pPr>
        <w:ind w:firstLine="0"/>
        <w:jc w:val="center"/>
      </w:pPr>
      <w:r>
        <w:rPr>
          <w:b w:val="0"/>
          <w:i w:val="0"/>
        </w:rPr>
      </w:r>
    </w:p>
    <w:p>
      <w:pPr>
        <w:ind w:firstLine="0"/>
        <w:jc w:val="center"/>
      </w:pPr>
      <w:r>
        <w:rPr>
          <w:b w:val="0"/>
          <w:i w:val="0"/>
        </w:rPr>
      </w:r>
    </w:p>
    <w:p>
      <w:pPr>
        <w:ind w:firstLine="0"/>
        <w:jc w:val="center"/>
      </w:pPr>
      <w:r>
        <w:rPr>
          <w:b w:val="0"/>
          <w:i w:val="0"/>
        </w:rPr>
      </w:r>
    </w:p>
    <w:p>
      <w:pPr>
        <w:ind w:firstLine="0"/>
        <w:jc w:val="center"/>
      </w:pPr>
      <w:r>
        <w:rPr>
          <w:b w:val="0"/>
          <w:i w:val="0"/>
        </w:rPr>
        <w:t>Москва, 2026</w:t>
      </w:r>
    </w:p>
    <w:p>
      <w:pPr>
        <w:pStyle w:val="Heading1"/>
        <w:pageBreakBefore/>
        <w:ind w:firstLine="0"/>
      </w:pPr>
      <w:r>
        <w:t>АННОТАЦИЯ</w:t>
      </w:r>
    </w:p>
    <w:p>
      <w:r>
        <w:rPr>
          <w:b w:val="0"/>
          <w:i w:val="0"/>
        </w:rPr>
        <w:t>Выпускная квалификационная работа посвящена разработке программного обеспечения для реализации SPICE-моделирования интегральных МОП-транзисторов и КМОП-схем с учетом факторов старения. В рамках работы спроектирована модульная архитектура инструмента «MOS Aging Analyzer», объединяющего автоматический разбор LTspice-нетлиста, формирование измерительных директив, физически обоснованный расчет деградации параметров транзисторов по compact-моделям горячих носителей (HCI) и нестабильности порогового напряжения (NBTI), а также автоматическую запись «постаревшего» нетлиста для повторного транзиентного расчета.</w:t>
      </w:r>
    </w:p>
    <w:p>
      <w:r>
        <w:rPr>
          <w:b w:val="0"/>
          <w:i w:val="0"/>
        </w:rPr>
        <w:t>Реализованный инструмент использует двухэтапную схему обмена данными со схемным симулятором: на первом этапе формируется include-файл с управляемыми источниками тока ударной ионизации и директивами .measure для NMOS- и PMOS-транзисторов; на втором этапе разбирается Spice Error Log и вычисляется сдвиг порогового напряжения ΔVth и поправочный коэффициент подвижности с учетом заданного срока службы. Корректность реализованной математической модели подтверждена на тестовой ячейке 6T SRAM по технологической норме 32 нм при варьировании напряжения питания (1,0; 1,2; 1,5 В) и температуры (27 °C, 100 °C). Результаты согласуются с физически ожидаемыми зависимостями деградации и опубликованными литературными данными по нанометровым МОП-транзисторам.</w:t>
      </w:r>
    </w:p>
    <w:p>
      <w:r>
        <w:rPr>
          <w:b w:val="0"/>
          <w:i w:val="0"/>
        </w:rPr>
        <w:t>Работа содержит введение, три основных раздела, заключение, список использованных источников и приложения. Объем работы составляет около 75 страниц, включая 18 рисунков и 8 таблиц. Список использованных источников насчитывает 55 наименований.</w:t>
      </w:r>
    </w:p>
    <w:p>
      <w:r>
        <w:rPr>
          <w:b w:val="0"/>
          <w:i w:val="0"/>
        </w:rPr>
        <w:t>Ключевые слова: SPICE-моделирование, КМОП-схемы, эффект горячих носителей, нестабильность порогового напряжения, BSIM4, LTspice, compact-модели надежности, программное обеспечение, Python.</w:t>
      </w:r>
    </w:p>
    <w:p>
      <w:pPr>
        <w:pStyle w:val="Heading1"/>
        <w:pageBreakBefore/>
        <w:ind w:firstLine="0"/>
      </w:pPr>
      <w:r>
        <w:t>ABSTRACT</w:t>
      </w:r>
    </w:p>
    <w:p>
      <w:r>
        <w:rPr>
          <w:b w:val="0"/>
          <w:i w:val="0"/>
        </w:rPr>
        <w:t>This bachelor thesis is devoted to the development of software for SPICE simulation of integrated MOSFETs and CMOS circuits taking aging factors into account. The work presents a modular architecture of the MOS Aging Analyzer tool that combines automated parsing of LTspice netlists, generation of measurement directives, physically motivated computation of transistor parameter degradation based on compact models of hot carrier injection (HCI) and negative bias temperature instability (NBTI), as well as automatic generation of an aged netlist for repeated transient simulation.</w:t>
      </w:r>
    </w:p>
    <w:p>
      <w:r>
        <w:rPr>
          <w:b w:val="0"/>
          <w:i w:val="0"/>
        </w:rPr>
        <w:t>The implemented tool relies on a two-stage data exchange scheme with the circuit simulator. In the first stage an include file with controlled impact-ionisation current sources and .measure directives for NMOS and PMOS transistors is generated; in the second stage the Spice Error Log is parsed and the threshold voltage shift ΔVth together with the mobility correction factor are computed for the user-specified lifetime. Correctness of the implemented mathematical model has been verified on a 6T SRAM test cell in 32 nm technology under variation of the supply voltage (1.0; 1.2; 1.5 V) and temperature (27 °C, 100 °C). The results are consistent with physically expected degradation trends and published data on nanometre-scale MOSFETs.</w:t>
      </w:r>
    </w:p>
    <w:p>
      <w:r>
        <w:rPr>
          <w:b w:val="0"/>
          <w:i w:val="0"/>
        </w:rPr>
        <w:t>The thesis consists of an introduction, three main sections, a conclusion, a list of references and appendices. The total volume is about 75 pages, including 18 figures and 8 tables. The reference list contains 55 entries.</w:t>
      </w:r>
    </w:p>
    <w:p>
      <w:r>
        <w:rPr>
          <w:b w:val="0"/>
          <w:i w:val="0"/>
        </w:rPr>
        <w:t>Keywords: SPICE simulation, CMOS circuits, hot carrier injection, NBTI, BSIM4, LTspice, compact reliability models, software, Python.</w:t>
      </w:r>
    </w:p>
    <w:p>
      <w:pPr>
        <w:pStyle w:val="Heading1"/>
        <w:pageBreakBefore/>
        <w:ind w:firstLine="0"/>
      </w:pPr>
      <w:r>
        <w:t>СОДЕРЖАНИЕ</w:t>
      </w:r>
    </w:p>
    <w:p>
      <w:pPr>
        <w:ind w:firstLine="0"/>
      </w:pPr>
      <w:r>
        <w:fldChar w:fldCharType="begin"/>
        <w:instrText xml:space="preserve">TOC \o "1-3" \h \z \u</w:instrText>
        <w:fldChar w:fldCharType="separate"/>
        <w:t>Обновите поле, чтобы построить содержание (правый клик – Обновить поле)</w:t>
        <w:fldChar w:fldCharType="end"/>
      </w:r>
    </w:p>
    <w:p>
      <w:pPr>
        <w:pStyle w:val="Heading1"/>
        <w:pageBreakBefore/>
        <w:ind w:firstLine="0"/>
      </w:pPr>
      <w:r>
        <w:t>ВВЕДЕНИЕ</w:t>
      </w:r>
    </w:p>
    <w:p>
      <w:r>
        <w:rPr>
          <w:b w:val="0"/>
          <w:i w:val="0"/>
        </w:rPr>
        <w:t>В современной электронной промышленности растут масштабы производства и применения полупроводниковых компонентов, а интегральные МОП-транзисторы и КМОП-схемы остаются базовой технологической платформой цифровой и аналоговой электроники. По данным World Semiconductor Trade Statistics, мировой объем продаж полупроводников достиг 795,6 млрд долл. США в 2025 году [1], а на 2026 год прогнозируется рост почти до 1 трлн долл. США [2]. По оценкам UNCTAD, количество устройств Интернета вещей увеличится с 16 млрд в 2023 году до 39 млрд к 2029 году [3], а International Energy Agency прогнозирует рост энергопотребления дата-центров с 415 ТВт·ч в 2024 году до 945 ТВт·ч к 2030 году [4]. Тем самым расширяются масштабы применения КМОП-электроники и ужесточаются требования к долговременной надежности проектируемых интегральных схем.</w:t>
      </w:r>
    </w:p>
    <w:p>
      <w:r>
        <w:rPr>
          <w:b w:val="0"/>
          <w:i w:val="0"/>
        </w:rPr>
        <w:t>Высокие темпы обновления технологий не отменяют того, что значительная часть электронных изделий эксплуатируется длительное время в составе ответственных систем, для которых критичны безопасность и предсказуемость параметров. Заметным примером служит автомобильная электроника, входящая в контур безопасности: с 7 июля 2024 года все новые автомобили, продаваемые в Европейском союзе, оснащаются обязательными системами помощи водителю и кибербезопасности [5]. Аналогичная логика длительного жизненного цикла характерна для другой критической инфраструктуры, в медицинской диагностике и приборах безопасности атомных объектов [6,7,8].</w:t>
      </w:r>
    </w:p>
    <w:p>
      <w:r>
        <w:rPr>
          <w:b w:val="0"/>
          <w:i w:val="0"/>
        </w:rPr>
        <w:t>На уровне элементной базы деградация МОП-транзисторов связана с совокупностью механизмов старения: инжекция горячих носителей (HCI), времязависимый пробой диэлектрика (TDDB) и нестабильность при отрицательном смещении и повышенной температуре (NBTI). Совокупное действие перечисленных механизмов приводит не только к постепенной деградации параметров, но и к полному функциональному отказу схемы [9]. В работе по системам безопасности автомобилей прямо указано, что электронные системы машин обязаны сохранять работоспособность в течение многих лет, а деградация порогового напряжения под воздействием NBTI в конечном итоге способна вызывать отказы оборудования и приводить к серьезным последствиям [10]. Из приведенных аргументов следует, что разработка программного обеспечения для реализации SPICE-моделирования интегральных МОП-транзисторов и КМОП-схем с учетом факторов старения представляет актуальную научно-техническую задачу.</w:t>
      </w:r>
    </w:p>
    <w:p>
      <w:r>
        <w:rPr>
          <w:b w:val="0"/>
          <w:i w:val="0"/>
        </w:rPr>
        <w:t>Цель работы состоит в разработке программного обеспечения для SPICE-моделирования интегральных МОП-транзисторов и КМОП-схем с учетом факторов старения, реализующего автоматический анализ режимов работы транзисторов в LTspice-схемах, коррекцию параметров SPICE-моделей на основе compact-моделей деградации и формирование «постаревшего» нетлиста для повторного транзиентного расчета на заданный срок службы.</w:t>
      </w:r>
    </w:p>
    <w:p>
      <w:r>
        <w:rPr>
          <w:b w:val="0"/>
          <w:i w:val="0"/>
        </w:rPr>
        <w:t>Для достижения цели поставлены следующие задачи:</w:t>
      </w:r>
    </w:p>
    <w:p>
      <w:pPr>
        <w:ind w:left="567" w:hanging="283"/>
        <w:jc w:val="both"/>
      </w:pPr>
      <w:r>
        <w:t>– исследование и анализ существующих методов и подходов для реализации SPICE-моделирования с учетом эффектов старения;</w:t>
      </w:r>
    </w:p>
    <w:p>
      <w:pPr>
        <w:ind w:left="567" w:hanging="283"/>
        <w:jc w:val="both"/>
      </w:pPr>
      <w:r>
        <w:t>– изучение структуры современных SPICE-моделей МОПТ различных уровней и определение минимального набора параметров, подлежащих коррекции при учете деградации;</w:t>
      </w:r>
    </w:p>
    <w:p>
      <w:pPr>
        <w:ind w:left="567" w:hanging="283"/>
        <w:jc w:val="both"/>
      </w:pPr>
      <w:r>
        <w:t>– разработка модульной архитектуры программного обеспечения и алгоритма его функционирования;</w:t>
      </w:r>
    </w:p>
    <w:p>
      <w:pPr>
        <w:ind w:left="567" w:hanging="283"/>
        <w:jc w:val="both"/>
      </w:pPr>
      <w:r>
        <w:t>– разработка парсера для LTspice, обеспечивающего извлечение списка МОП-транзисторов и параметров SPICE-моделей из нетлиста, а также разбор Spice Error Log;</w:t>
      </w:r>
    </w:p>
    <w:p>
      <w:pPr>
        <w:ind w:left="567" w:hanging="283"/>
        <w:jc w:val="both"/>
      </w:pPr>
      <w:r>
        <w:t>– разработка модуля анализа режимов работы, формирующего SPICE-директивы для измерения характеристик NMOS- и PMOS-транзисторов в условиях, соответствующих режимам HCI и NBTI;</w:t>
      </w:r>
    </w:p>
    <w:p>
      <w:pPr>
        <w:ind w:left="567" w:hanging="283"/>
        <w:jc w:val="both"/>
      </w:pPr>
      <w:r>
        <w:t>– разработка модуля учета деградации параметров SPICE-моделей на основе compact-моделей HCI и NBTI;</w:t>
      </w:r>
    </w:p>
    <w:p>
      <w:pPr>
        <w:ind w:left="567" w:hanging="283"/>
        <w:jc w:val="both"/>
      </w:pPr>
      <w:r>
        <w:t>– разработка пользовательского интерфейса в виде пятишагового мастера;</w:t>
      </w:r>
    </w:p>
    <w:p>
      <w:pPr>
        <w:ind w:left="567" w:hanging="283"/>
        <w:jc w:val="both"/>
      </w:pPr>
      <w:r>
        <w:t>– схемотехническое моделирование нанометровых МОП-транзисторов в LTspice на тестовой ячейке 6T SRAM по технологической норме 32 нм;</w:t>
      </w:r>
    </w:p>
    <w:p>
      <w:pPr>
        <w:ind w:left="567" w:hanging="283"/>
        <w:jc w:val="both"/>
      </w:pPr>
      <w:r>
        <w:t>– реализация интеграции с LTspice через автоматически формируемый include-файл и механизм замены моделей в «постаревшем» нетлисте;</w:t>
      </w:r>
    </w:p>
    <w:p>
      <w:pPr>
        <w:ind w:left="567" w:hanging="283"/>
        <w:jc w:val="both"/>
      </w:pPr>
      <w:r>
        <w:t>– проведение верификации и валидации реализованной математической модели старения путем сопоставления результатов моделирования при варьировании напряжения питания и температуры с физически ожидаемыми зависимостями.</w:t>
      </w:r>
    </w:p>
    <w:p>
      <w:r>
        <w:rPr>
          <w:b w:val="0"/>
          <w:i w:val="0"/>
        </w:rPr>
        <w:t>Объект исследования – интегральные МОП-транзисторы и КМОП-схемы с проектными нормами от сотен нанометров до 28 нм. Предмет исследования – программные методы и алгоритмы реализации SPICE-моделирования с учетом эффектов горячих носителей и нестабильности порогового напряжения. Методы исследования включают анализ научных публикаций по физике деградации МОП-транзисторов и compact-моделям надежности, проектирование архитектуры программного обеспечения, реализацию модулей на языке Python, схемотехническое моделирование тестовой ячейки SRAM в LTspice и численную верификацию полученных результатов с использованием размерного анализа и сравнения с литературными данными.</w:t>
      </w:r>
    </w:p>
    <w:p>
      <w:r>
        <w:rPr>
          <w:b w:val="0"/>
          <w:i w:val="0"/>
        </w:rPr>
        <w:t>Научная и практическая значимость работы заключается в создании отечественного программного средства анализа надежности КМОП-схем, доступного для использования в учебных и инженерных задачах при проектировании микросхем с проектными нормами от сотен нанометров до 32 нм. Распределение разделов между авторами соответствует индивидуальным заданиям технического задания на ВКР: архитектура программного обеспечения, парсер LTspice, модуль анализа режимов работы, пользовательский интерфейс и часть работ по интеграции с LTspice выполнены М.В. Ивановым; изучение структуры современных SPICE-моделей МОПТ, схемотехническое моделирование нанометровых МОП-транзисторов и верификация и валидация модели старения выполнены Ф.А. Сосенковым; алгоритм функционирования программы, модуль учета деградации параметров и интеграция с LTspice выполнены совместно.</w:t>
      </w:r>
    </w:p>
    <w:p>
      <w:pPr>
        <w:pStyle w:val="Heading1"/>
        <w:pageBreakBefore/>
        <w:ind w:firstLine="0"/>
      </w:pPr>
      <w:r>
        <w:t>1 ОБЗОР ЛИТЕРАТУРЫ ПО ТЕМЕ</w:t>
      </w:r>
    </w:p>
    <w:p>
      <w:pPr>
        <w:pStyle w:val="Heading2"/>
        <w:ind w:firstLine="0"/>
      </w:pPr>
      <w:r>
        <w:t>1.1 Механизмы старения интегральных МОП-транзисторов</w:t>
      </w:r>
    </w:p>
    <w:p>
      <w:r>
        <w:rPr>
          <w:b w:val="0"/>
          <w:i w:val="0"/>
        </w:rPr>
        <w:t>Старение интегральных МОП-транзисторов представляет собой не единичный эффект, а совокупность взаимосвязанных физических процессов, развивающихся под действием электрического поля, температуры и токовых нагрузок. Для современной КМОП-технологии наибольшее значение имеют нестабильность при смещении и температуре (bias temperature instability, BTI), деградация, обусловленная горячими носителями (hot carrier injection / hot carrier degradation, HCI/HCD), а также времязависимый пробой диэлектрика (time-dependent dielectric breakdown, TDDB) [11,12]. По мере перехода от планарных МОП-транзисторов к FinFET- и GAA-структурам перечисленные механизмы проявляются сложнее из-за применения новых материалов, уменьшения технологических норм, роста локальных электрических полей и усиления саморазогрева [12,13].</w:t>
      </w:r>
    </w:p>
    <w:p>
      <w:r>
        <w:rPr>
          <w:b w:val="0"/>
          <w:i w:val="0"/>
        </w:rPr>
        <w:t>Одним из ключевых механизмов старения является BTI. Для p-канальных транзисторов он проявляется как отрицательная нестабильность при смещении и температуре (NBTI), а для n-канальных приборов в технологиях с high-k/metal gate существенную роль играет положительная нестабильность (PBTI) [11]. Физически данный механизм связан с захватом и эмиссией носителей ловушками в диэлектрике затвора, а также с образованием интерфейсных дефектов на границе Si/SiO₂. Кинетика деградации определяется сложным сочетанием процессов захвата и высвобождения носителей и чувствительна как к напряжению, так и к температуре [14]. BTI приводит прежде всего к смещению порогового напряжения, ухудшению токовых характеристик и, как следствие, к дрейфу временных и энергетических параметров схемы [11].</w:t>
      </w:r>
    </w:p>
    <w:p>
      <w:r>
        <w:rPr>
          <w:b w:val="0"/>
          <w:i w:val="0"/>
        </w:rPr>
        <w:t>Вторым фундаментальным механизмом является деградация, вызванная горячими носителями (HCI). Она возникает в режимах, когда одновременно присутствуют значительные напряжения на затворе и стоке, а носители в канале набирают энергию, достаточную для разрыва связей Si–H или Si–O и генерации оксидных ловушек. В результате изменяются пороговое напряжение, подвижность, линейный и насыщенный токи стока. Физическая картина HCI/HCD заметно усложнилась по мере масштабирования приборов: для короткоканальных структур все большую роль играют множественные колебательные возбуждения связей и вторичные носители, возникающие при ударной ионизации [15,16]. Особого внимания заслуживает взаимодействие HCI с эффектом саморазогрева в трехмерных структурах, где теплоотвод ухудшается и температура в активной области может заметно возрастать [15,17].</w:t>
      </w:r>
    </w:p>
    <w:p>
      <w:r>
        <w:rPr>
          <w:b w:val="0"/>
          <w:i w:val="0"/>
        </w:rPr>
        <w:t>Третьим базовым механизмом является TDDB – времязависимое разрушение диэлектрика затвора. В физическом смысле TDDB связан с накоплением дефектов в оксидном слое под длительным электрическим стрессом, ростом токов утечки и формированием проводящего пути через диэлектрик, что в конечном итоге приводит к мягкому или жесткому пробою [18]. Влияние TDDB проявляется задолго до окончательного отказа: на стадии ускоренного стресс-тестирования меняются передаточные и выходные характеристики, происходит сдвиг порогового напряжения и растет ток утечки [18,19].</w:t>
      </w:r>
    </w:p>
    <w:p>
      <w:r>
        <w:rPr>
          <w:b w:val="0"/>
          <w:i w:val="0"/>
        </w:rPr>
        <w:t>В реальных режимах эксплуатации перечисленные механизмы редко действуют изолированно. В обзоре [12] подчеркивается, что для современных МОП-транзисторов однорежимный анализ старения уже недостаточен, поскольку устройство в составе реальной логики последовательно или одновременно испытывает BTI, HCD, TDDB и прочие механизмы. Описанные механизмы имеют различную физическую природу, но сходятся в одном важном следствии: все они вызывают измеримые изменения электрических параметров прибора во времени – пороговое напряжение, подвижность носителей, подпороговый наклон, токи утечки и связанные с ними динамические характеристики. Именно поэтому анализ указанных механизмов представляет интерес для построения compact- и SPICE-моделей, в которых старение представляется в виде изменения параметров транзистора в зависимости от времени, температуры и режима эксплуатации.</w:t>
      </w:r>
    </w:p>
    <w:p>
      <w:pPr>
        <w:pStyle w:val="Heading2"/>
        <w:ind w:firstLine="0"/>
      </w:pPr>
      <w:r>
        <w:t>1.2 Подходы к моделированию старения на уровне compact- и SPICE-моделей</w:t>
      </w:r>
    </w:p>
    <w:p>
      <w:r>
        <w:rPr>
          <w:b w:val="0"/>
          <w:i w:val="0"/>
        </w:rPr>
        <w:t>Ключевая задача compact- и SPICE-моделирования состоит в преобразовании физических механизмов деградации в набор уравнений и параметров, пригодных для быстрого и устойчивого схемного расчета. Модель является связующим звеном между технологией изготовления транзистора и проектированием интегральных схем [21]. Вопросы надежности и старения решаются в рамках расширенной compact-модели, основанной на физических уравнениях и параметрах, извлекаемых из стресс-испытаний.</w:t>
      </w:r>
    </w:p>
    <w:p>
      <w:r>
        <w:rPr>
          <w:b w:val="0"/>
          <w:i w:val="0"/>
        </w:rPr>
        <w:t>В литературе выделяются два крупных направления развития SPICE-моделей старения. Первое основано на коррекции параметров стандартных моделей МОП-транзисторов в зависимости от времени работы и электрического стресса. Второе – на построении специальных макромоделей либо надстроек над SPICE-симулятором, в которых старение описывается дополнительными переменными, токовыми источниками или внутренними состояниями [22]. Для таких маршрутов характерна двухэтапная логика: сначала выполняется моделирование схемы в штатном режиме на ограниченном временном интервале и оценивается степень деградации отдельных транзисторов, после чего параметры их SPICE-моделей корректируются и проводится повторный расчет «состаренной» схемы [22]. Достоинство подхода – совместимость с существующей инфраструктурой SPICE-моделирования, а его точность определяется физической корректностью законов деградации и аккуратностью переноса результатов первого этапа на второй.</w:t>
      </w:r>
    </w:p>
    <w:p>
      <w:r>
        <w:rPr>
          <w:b w:val="0"/>
          <w:i w:val="0"/>
        </w:rPr>
        <w:t>Более физически обоснованное направление связано с моделями, в которых старение описывается через генерацию и пространственное распределение дефектов в диэлектрике и на границе раздела. Подход Unified Reliability Model [23] предполагает: сначала моделируется образование участков захвата активных носителей, затем оценивается их влияние на характеристики прибора и схемы, после чего учитывается обратное влияние режима работы устройства на дальнейшую генерацию дефектов. Дальнейшее развитие trap-based подход получил в работе [24], где старение моделируется через динамическое увеличение плотности ловушек непосредственно в уравнении Пуассона; решение выполняется итерационно совместно с законом Гаусса.</w:t>
      </w:r>
    </w:p>
    <w:p>
      <w:r>
        <w:rPr>
          <w:b w:val="0"/>
          <w:i w:val="0"/>
        </w:rPr>
        <w:t>Для практического внедрения подобных моделей в SPICE-маршрут критическим требованием становится совместимость со схемным симулятором. SPICE-совместимая compact-модель деградации горячими носителями для HKMG FDSOI МОП-транзисторов из работы [25] описывает деградацию через напряжения на выводах транзистора, температуру и время – через величины, непосредственно доступные в обычной схемной симуляции. Принципиальное усложнение – учет восстановления параметров при снятии стресса. BTI-деградация и восстановление сосуществуют, а результирующее изменение параметров определяется не только суммарным временем стресса, но и формой сигнала, частотой переключения и длительностью пауз восстановления [27]. Современная compact-модель старения зависит не просто от времени эксплуатации, а от всей истории воздействия. Aging-модель из работы [28] встроена в промышленный compact-модельный каркас HiSIM, а температурная зависимость aged I–V характеристик воспроизводится в рамках самосогласованного расчета.</w:t>
      </w:r>
    </w:p>
    <w:p>
      <w:r>
        <w:rPr>
          <w:b w:val="0"/>
          <w:i w:val="0"/>
        </w:rPr>
        <w:t>Развитие compact- и SPICE-моделей идет от сравнительно простых схем коррекции параметров к более физически обоснованным, самосогласованным и встроенным в симулятор моделям. Для тематики настоящей работы наиболее перспективным является гибридный подход, сочетающий SPICE-совместимость, физически интерпретируемые параметры деградации и возможность учитывать реальные профили эксплуатации схемы во времени.</w:t>
      </w:r>
    </w:p>
    <w:p>
      <w:pPr>
        <w:pStyle w:val="Heading2"/>
        <w:ind w:firstLine="0"/>
      </w:pPr>
      <w:r>
        <w:t>1.3 Влияние старения на уровне КМОП-схем</w:t>
      </w:r>
    </w:p>
    <w:p>
      <w:r>
        <w:rPr>
          <w:b w:val="0"/>
          <w:i w:val="0"/>
        </w:rPr>
        <w:t>На следующем уровне абстракции старение рассматривается не как изменение параметров отдельного транзистора, а как причина деградации функциональных характеристик целых КМОП-узлов. На уровне схемы изменения транзисторов проявляются как рост задержек, уменьшение запаса по быстродействию, ухудшение согласования токов и напряжений, рост энергопотребления и снижение запаса устойчивости. Один и тот же механизм старения по-разному влияет на схемы разных классов: для цифровой логики критичны задержки и частота, для памяти – запасы чтения и записи, для аналоговых блоков – усиление, смещение и разброс параметров [31,32].</w:t>
      </w:r>
    </w:p>
    <w:p>
      <w:r>
        <w:rPr>
          <w:b w:val="0"/>
          <w:i w:val="0"/>
        </w:rPr>
        <w:t>Деградация на схемном уровне определяется не только свойствами транзисторов, но и архитектурой узла, режимом работы, статистическими вариациями и взаимодействием между элементами. Стохастический подход к анализу надежности схем [31] объединяет пространственные вариации параметров, временные детерминированные механизмы старения и временные стохастические эффекты. На примере 6-разрядного ЦАП показано, что даже при сравнительно небольших сдвигах параметров отдельных транзисторов деградация со временем приводит к заметному расширению распределения характеристик схемы. Для аналоговых схем традиционные reliability margins, определяемые по ускоренным испытаниям одиночных транзисторов, уже недостаточны для практического проектирования; реальные деградационные процессы оцениваются именно на уровне схемы [32].</w:t>
      </w:r>
    </w:p>
    <w:p>
      <w:r>
        <w:rPr>
          <w:b w:val="0"/>
          <w:i w:val="0"/>
        </w:rPr>
        <w:t>Существенный пласт работ относится к цифровым интерфейсным блокам и памяти. Для стандартных low-to-high level shifter'ов задержка после 5 лет эксплуатации может расти более чем на 200 % [33]. В памяти SRAM деградация затрагивает как ячейки, так и периферийную обвязку. На уровне access time margin взаимодействие подузлов дает не только усугубление, но и частичную компенсацию эффектов: замедление управляющей логики увеличивает время, отводимое sense amplifier'у [34,35]. На уровне отдельных ячеек памяти старение проявляется через ухудшение запасов устойчивости: при номинальном напряжении после 10⁸ с эксплуатации деградация read SNM достигает 16,72 % [36]. Для аналоговых и mixed-signal схем характерны двусторонние связи между деградацией и режимом смещения [37,39]. Старение также увеличивает soft error rate цифровых запоминающих узлов [40].</w:t>
      </w:r>
    </w:p>
    <w:p>
      <w:r>
        <w:rPr>
          <w:b w:val="0"/>
          <w:i w:val="0"/>
        </w:rPr>
        <w:t>Обзор показывает, что на уровне КМОП-схем старение проявляется многомерно и существенно зависит от класса узла. Схемный анализ старения не сводится к переносу device-level параметров на схему без дополнительных доработок. Для практической реализации aging-aware SPICE-моделирования требуется инструмент, способный связывать деградацию параметров транзисторов с изменением функциональных метрик конкретных КМОП-схем на протяжении срока службы.</w:t>
      </w:r>
    </w:p>
    <w:p>
      <w:pPr>
        <w:pStyle w:val="Heading2"/>
        <w:ind w:firstLine="0"/>
      </w:pPr>
      <w:r>
        <w:t>1.4 Существующие программные средства и аналоги</w:t>
      </w:r>
    </w:p>
    <w:p>
      <w:r>
        <w:rPr>
          <w:b w:val="0"/>
          <w:i w:val="0"/>
        </w:rPr>
        <w:t>Существующие решения для aging-aware SPICE-моделирования условно делятся на несколько классов: внешние надстройки над стандартным SPICE, встроенные ageing-aware симуляторы, системные фреймворки оценки времени жизни, а также смежные решения, в которых расширение SPICE достигается за счет специальных скриптов или электрических подсхем.</w:t>
      </w:r>
    </w:p>
    <w:p>
      <w:r>
        <w:rPr>
          <w:b w:val="0"/>
          <w:i w:val="0"/>
        </w:rPr>
        <w:t>Исторически развитие подобных средств началось со специализированных пакетов надежностного моделирования: BERT, RELY и подобных. Подходы из перечисленных систем были использованы в коммерческих решениях Cadence Spectre/UltraSim, Mentor Graphics Eldo и Synopsys MOSRA [43]. На раннем этапе сформировалась основная логика aging-aware маршрута: сначала анализируется работа схемы в номинальном режиме, затем рассчитывается степень деградации приборов, после чего обновленные параметры используются для повторного моделирования. Подобные средства остаются для пользователя во многом «закрытыми»: подробные модели и процедуры извлечения параметров часто описаны недостаточно полно [43].</w:t>
      </w:r>
    </w:p>
    <w:p>
      <w:r>
        <w:rPr>
          <w:b w:val="0"/>
          <w:i w:val="0"/>
        </w:rPr>
        <w:t>Один из наиболее близких к теме настоящей работы примеров – фреймворк CARAT [44]. Он представляет собой автономный инструмент, работающий поверх SPICE и ориентированный на анализ старения КМОП-схем с учетом BTI и HCD. CARAT использует HSPICE и стандартные model cards транзисторов, автоматически извлекает временные формы напряжений на выводах и температурные профили, а затем рассчитывает кратковременную деградацию и экстраполирует ее до конца срока службы. Достоинство CARAT – cycle-by-cycle анализ, учитывающий реальную активность узлов. Ограничения подхода: CARAT остается внешней standalone-надстройкой; в текущей реализации главным образом учитывается aging в виде сдвига порогового напряжения [44].</w:t>
      </w:r>
    </w:p>
    <w:p>
      <w:r>
        <w:rPr>
          <w:b w:val="0"/>
          <w:i w:val="0"/>
        </w:rPr>
        <w:t>Другой класс решений – интегрированные ageing-aware симуляторы, в которых старение моделируется через встроенные переменные состояния и специальные поведенческие модели [45]; они требуют специально разработанных моделей и расширений языка описания и остаются исследовательскими инструментами. На более высоком уровне абстракции находятся системные фреймворки оценки надежности процессорных SoC [46] и variation-aware aging simulator [47]: они обеспечивают SPICE-level accuracy при затратах времени порядка 1 % от прямого SPICE-анализа критических путей. Однако такие инструменты ориентированы прежде всего на timing analysis и lifetime distribution больших цифровых микропроцессорных систем, а не на универсальное aging-aware SPICE-моделирование произвольных КМОП-узлов.</w:t>
      </w:r>
    </w:p>
    <w:p>
      <w:r>
        <w:rPr>
          <w:b w:val="0"/>
          <w:i w:val="0"/>
        </w:rPr>
        <w:t>Среди отечественных работ наиболее близким аналогом выступает подход [43], в котором сформирован набор макромоделей МОП-транзисторов, учитывающих NBTI, PBTI, HCI, TDDB и электромиграцию, а также пакет SPICE-моделирования и набор специальных скриптов для расчета параметров моделей. Подсистема состоит из нескольких разнотипных компонентов и представляет собой скорее исследовательский маршрут, чем единое программное средство с унифицированным интерфейсом. Отечественные работы по расширению стандартного SPICE-потока за счет внешних скриптов и подключаемых подсхем [49,50,51] демонстрируют продуктивность архитектуры, в которой внешний программный уровень управляет сериями SPICE-прогонов, обработкой результатов и специализированными вычислительными процедурами.</w:t>
      </w:r>
    </w:p>
    <w:p>
      <w:r>
        <w:rPr>
          <w:b w:val="0"/>
          <w:i w:val="0"/>
        </w:rPr>
        <w:t>Обзор существующих программных средств показывает, что в области уже накоплен значительный задел, но он фрагментирован. Ни одно из рассмотренных решений не дает в явном виде универсального, удобного и достаточно открытого инструмента, одновременно ориентированного на моделирование интегральных МОП-транзисторов и КМОП-схем на схемном уровне, учитывающего несколько механизмов старения, пригодного для интеграции в привычный SPICE-маршрут и доступного для дальнейшего расширения под конкретные исследовательские задачи. Указанная незакрытая ниша определяет практическую целесообразность разработки собственного программного обеспечения в рамках настоящей работы.</w:t>
      </w:r>
    </w:p>
    <w:p>
      <w:pPr>
        <w:pStyle w:val="Heading2"/>
        <w:ind w:firstLine="0"/>
      </w:pPr>
      <w:r>
        <w:t>1.5 Структура современных SPICE-моделей МОПТ</w:t>
      </w:r>
    </w:p>
    <w:p>
      <w:r>
        <w:rPr>
          <w:b w:val="0"/>
          <w:i w:val="0"/>
        </w:rPr>
        <w:t>SPICE-модели МОП-транзисторов традиционно обозначают уровнями (LEVEL). Уровни 1–3 соответствуют аналитическим моделям Шичмана–Ходжеса и ее последующим уточнениям; они применимы для транзисторов с длиной канала более 1 мкм и малопригодны для субмикронных приборов из-за неучета короткоканальных эффектов. Начиная с субмикронного диапазона в индустрии используются модели семейства BSIM [52]. BSIM3v3 применяется для проектных норм 180–130 нм, BSIM4 – для 90–16 нм. Для более глубоких технологий применяются BSIM-CMG, HiSIM-SOTB, PSP и другие. В рамках настоящей работы предметом моделирования являются планарные МОП-транзисторы, для которых достаточен BSIM4.</w:t>
      </w:r>
    </w:p>
    <w:p>
      <w:r>
        <w:rPr>
          <w:b w:val="0"/>
          <w:i w:val="0"/>
        </w:rPr>
        <w:t>Для задачи учета деградации принципиально важно не все множество параметров модели (их сотни), а небольшое подмножество параметров, физически связанных с порогом и подвижностью носителей. Остальные параметры при деградации в первом приближении не меняются. По результатам анализа документации BSIM3/BSIM4 [52] и научных источников определен следующий минимальный набор параметров модели, корректируемых разрабатываемой программой:</w:t>
      </w:r>
    </w:p>
    <w:p>
      <w:pPr>
        <w:ind w:left="567" w:hanging="283"/>
        <w:jc w:val="both"/>
      </w:pPr>
      <w:r>
        <w:t>– vth0 – номинальное пороговое напряжение транзистора при нулевом напряжении подложка–исток. Именно к нему непосредственно прибавляется рассчитанное значение ΔVth, получаемое в результате моделирования деградации;</w:t>
      </w:r>
    </w:p>
    <w:p>
      <w:pPr>
        <w:ind w:left="567" w:hanging="283"/>
        <w:jc w:val="both"/>
      </w:pPr>
      <w:r>
        <w:t>– u0 – подвижность носителей заряда при нулевом напряжении затвор–исток. Снижение подвижности под действием HCI и NBTI моделируется делением u0 на коэффициент factor_u0, физически связанный со сдвигом ΔVth и емкостью подзатворного оксида Cox;</w:t>
      </w:r>
    </w:p>
    <w:p>
      <w:pPr>
        <w:ind w:left="567" w:hanging="283"/>
        <w:jc w:val="both"/>
      </w:pPr>
      <w:r>
        <w:t>– tox (toxe) – толщина подзатворного оксида. Параметр не корректируется при деградации, но используется для вычисления емкости оксида Cox = ε_ox / tox, входящей в расчетные формулы для обеих моделей деградации.</w:t>
      </w:r>
    </w:p>
    <w:p>
      <w:r>
        <w:rPr>
          <w:b w:val="0"/>
          <w:i w:val="0"/>
        </w:rPr>
        <w:t>Дополнительно из card-файла модели считываются геометрические параметры транзистора L (длина канала) и W (ширина канала). В практической части работы используется модель BSIM4 (LEVEL = 14) из библиотеки параметров PTM (Predictive Technology Models) для технологии 32 нм [53]. Полный .model-блок содержит более 130 параметров, однако для задачи учета деградации достаточно извлечь vth0, u0 и toxe.</w:t>
      </w:r>
    </w:p>
    <w:p>
      <w:pPr>
        <w:pStyle w:val="Heading2"/>
        <w:ind w:firstLine="0"/>
      </w:pPr>
      <w:r>
        <w:t>1.6 Выводы по обзору</w:t>
      </w:r>
    </w:p>
    <w:p>
      <w:r>
        <w:rPr>
          <w:b w:val="0"/>
          <w:i w:val="0"/>
        </w:rPr>
        <w:t>Анализ литературы показывает, что старение интегральных МОП-транзисторов представляет многофакторный процесс, включающий BTI, HCI/HCD, TDDB и связанные с ними температурные и эксплуатационные эффекты. На уровне compact- и SPICE-моделей сформирован существенный научный задел: предложены параметрические, trap-based и self-consistent подходы. На уровне КМОП-схем установлено, что деградация влияет на задержки, запасы устойчивости, частоту, усиление, смещения и другие функциональные характеристики. Существующие программные решения не образуют единого универсального инструмента для aging-aware SPICE-моделирования. В современных пакетах BSIM-моделей выделяется небольшое подмножество физически значимых параметров (vth0, u0, toxe), коррекция которых позволяет описывать деградацию транзистора в первом приближении достаточно адекватно. Из перечисленных наблюдений следует логичная постановка задачи: разработать программное обеспечение, реализующее анализ режимов работы МОП-транзисторов в конкретных LTspice-схемах, коррекцию параметров их моделей на основе научных данных о деградации и последующее SPICE-моделирование КМОП-схем на заданном интервале эксплуатации.</w:t>
      </w:r>
    </w:p>
    <w:p>
      <w:pPr>
        <w:pStyle w:val="Heading1"/>
        <w:pageBreakBefore/>
        <w:ind w:firstLine="0"/>
      </w:pPr>
      <w:r>
        <w:t>2 РАЗРАБОТКА ПРОГРАММНОГО ИНСТРУМЕНТА «MOS AGING ANALYZER»</w:t>
      </w:r>
    </w:p>
    <w:p>
      <w:r>
        <w:rPr>
          <w:b w:val="0"/>
          <w:i w:val="0"/>
        </w:rPr>
        <w:t>В разделе описана разработка прикладного программного обеспечения для aging-aware SPICE-моделирования – инструмента «MOS Aging Analyzer». Изложение построено в логике от общего к частному: сначала описывается архитектурная декомпозиция и алгоритм работы, затем последовательно представлены реализованные модули – парсер LTspice, модуль анализа режимов работы, модуль учета деградации параметров и пользовательский интерфейс. Завершают раздел описание схемотехнического моделирования тестовой ячейки SRAM на технологии 32 нм и реализация интеграции инструмента с симулятором LTspice.</w:t>
      </w:r>
    </w:p>
    <w:p>
      <w:pPr>
        <w:pStyle w:val="Heading2"/>
        <w:ind w:firstLine="0"/>
      </w:pPr>
      <w:r>
        <w:t>2.1 Архитектура программного обеспечения</w:t>
      </w:r>
    </w:p>
    <w:p>
      <w:pPr>
        <w:pStyle w:val="Heading3"/>
        <w:ind w:firstLine="0"/>
      </w:pPr>
      <w:r>
        <w:t>2.1.1 Объект разработки и принципы интеграции</w:t>
      </w:r>
    </w:p>
    <w:p>
      <w:r>
        <w:rPr>
          <w:b w:val="0"/>
          <w:i w:val="0"/>
        </w:rPr>
        <w:t>Объект разработки – прикладная программа на языке Python, выполняющая функции связующего звена между симулятором LTspice и аналитической моделью деградации МОП-транзисторов. Программа не управляет процессом симуляции напрямую и не модифицирует исходную схему пользователя. Вместо этого реализована схема обмена через файлы: программа извлекает информацию о транзисторах из netlist-файла, формирует include-файл с директивами .measure, который пользователь подключает к схеме в LTspice через директиву .include, после чего пользователь самостоятельно запускает транзиентный расчет. Полученный Spice Error Log поступает обратно в программу для дальнейшей обработки.</w:t>
      </w:r>
    </w:p>
    <w:p>
      <w:r>
        <w:rPr>
          <w:b w:val="0"/>
          <w:i w:val="0"/>
        </w:rPr>
        <w:t>Принятая схема разделения ответственности продиктована особенностями экосистемы LTspice, не предоставляющей публичного программного интерфейса для встраивания в сторонние приложения. Реализованный подход обеспечивает совместимость со всеми поддерживаемыми версиями LTspice и сохраняет привычный для инженера-схемотехника рабочий цикл взаимодействия с симулятором.</w:t>
      </w:r>
    </w:p>
    <w:p>
      <w:pPr>
        <w:pStyle w:val="Heading3"/>
        <w:ind w:firstLine="0"/>
      </w:pPr>
      <w:r>
        <w:t>2.1.2 Функциональные требования</w:t>
      </w:r>
    </w:p>
    <w:p>
      <w:r>
        <w:rPr>
          <w:b w:val="0"/>
          <w:i w:val="0"/>
        </w:rPr>
        <w:t>На основании технического задания на выпускную квалификационную работу к разрабатываемому программному обеспечению предъявлены функциональные требования, перечисленные ниже. Программа обеспечивает загрузку и автоматический разбор SPICE-netlist в форматах .cir, .net и .txt с извлечением полного списка МОП-транзисторов и значений эффективной толщины подзатворного оксида для NMOS- и PMOS-моделей. Для каждого выбранного пользователем транзистора программа формирует набор SPICE-директив, реализующих измерение интегральных и максимальных значений тока ударной ионизации (для NMOS) и напряжений, характерных для режима NBTI (для PMOS). Полученный после симуляции Spice Error Log автоматически разбирается, а извлеченные из него величины используются для расчета сдвига порогового напряжения и поправочного коэффициента подвижности носителей с учетом заданного пользователем срока службы. По результатам анализа программа формирует структурированный HTML-отчет и постаревший netlist-файл, пригодный для повторного транзиентного расчета в LTspice.</w:t>
      </w:r>
    </w:p>
    <w:p>
      <w:pPr>
        <w:pStyle w:val="Heading3"/>
        <w:ind w:firstLine="0"/>
      </w:pPr>
      <w:r>
        <w:t>2.1.3 Выбор технологического стека</w:t>
      </w:r>
    </w:p>
    <w:p>
      <w:r>
        <w:rPr>
          <w:b w:val="0"/>
          <w:i w:val="0"/>
        </w:rPr>
        <w:t>В качестве основного языка реализации выбран Python версии 3.11. Выбор обусловлен высокой производительностью разработки, стандартизацией кросс-платформенных средств работы с файловой системой и развитой экосистемой инструментов численных вычислений, что согласуется с практикой использования Python-оберток для расширения возможностей SPICE-маршрутов в смежных задачах [49].</w:t>
      </w:r>
    </w:p>
    <w:p>
      <w:r>
        <w:rPr>
          <w:b w:val="0"/>
          <w:i w:val="0"/>
        </w:rPr>
        <w:t>Графический пользовательский интерфейс реализован на фреймворке PyQt6, обеспечивающем нативное отображение элементов управления на платформе Windows и поддержку декларативного стиля оформления через CSS-подобные таблицы стилей. Численные расчеты, в первую очередь работа с массивами измерений и интегральных величин, выполняются с использованием библиотеки NumPy. Для запуска LTspice и автоматического обнаружения исполняемого файла на компьютере пользователя применяется стандартный модуль subprocess. Внешние шаблонизаторы и сторонние SPICE-обертки в проекте не используются: HTML-отчет формируется через встроенный в Python механизм str.format подстановки данных в строковый шаблон.</w:t>
      </w:r>
    </w:p>
    <w:p>
      <w:r>
        <w:rPr>
          <w:b w:val="0"/>
          <w:i w:val="0"/>
        </w:rPr>
        <w:t>Дополнительно учитывалась необходимость подготовки автономного исполняемого файла для распространения программы конечным пользователям без установки Python. С данной целью использовался упаковщик PyInstaller, формирующий единичный exe-файл с возможностью установки через стандартный установщик Inno Setup.</w:t>
      </w:r>
    </w:p>
    <w:p>
      <w:pPr>
        <w:pStyle w:val="Heading3"/>
        <w:ind w:firstLine="0"/>
      </w:pPr>
      <w:r>
        <w:t>2.1.4 Декомпозиция на модули</w:t>
      </w:r>
    </w:p>
    <w:p>
      <w:r>
        <w:rPr>
          <w:b w:val="0"/>
          <w:i w:val="0"/>
        </w:rPr>
        <w:t>Программное обеспечение разделено на четыре функциональных уровня. Уровень пользовательского интерфейса (директория ui) содержит главное окно программы и набор диалоговых форм для ввода параметров. Расчетное ядро (директория core) объединяет модули, реализующие предметно-ориентированную логику: парсинг входных файлов (netlist_parser.py), физические модели деградации (aging.py), формирование постаревшего netlist (netlist_writer.py), генерацию HTML-отчета (report.py) и температурный пересчет (temperature_analysis.py). Вспомогательный уровень (директория utils) содержит универсальные модули чтения и записи файлов с автоопределением кодировки, экспорта результатов в табличные форматы и автоматического обнаружения LTspice. Директория scripts содержит автономный сценарий ltspice_runner.py для пакетного применения результатов анализа без участия графического интерфейса.</w:t>
      </w:r>
    </w:p>
    <w:p>
      <w:r>
        <w:rPr>
          <w:b w:val="0"/>
          <w:i w:val="0"/>
        </w:rPr>
        <w:t>Точкой входа программы является скрипт main.py в корне проекта. Скрипт создает экземпляр приложения PyQt6 и инициализирует главное окно, после чего управление передается событийному циклу графического интерфейса. Все взаимодействия между модулями расчетного ядра и пользовательским интерфейсом проходят через явные вызовы публичных функций соответствующих модулей, что упрощает модульное тестирование и сопровождение кода.</w:t>
      </w:r>
    </w:p>
    <w:p>
      <w:pPr>
        <w:spacing w:before="120"/>
        <w:ind w:firstLine="0"/>
        <w:jc w:val="center"/>
      </w:pPr>
      <w:r>
        <w:rPr>
          <w:i/>
          <w:color w:val="707070"/>
        </w:rPr>
        <w:t>[МЕСТО ДЛЯ РИСУНКА: диаграмма из четырех функциональных слоев (UI, core, utils, scripts) с модулями внутри каждого слоя и стрелками вызовов между ними. Слой UI содержит main_window.py и dialogs.py; слой core – netlist_parser.py, aging.py, netlist_writer.py, report.py, temperature_analysis.py; слой utils – file_io.py, ltspice_locator.py, export.py, app_paths.py; слой scripts – ltspice_runner.py. Стрелки идут от UI к core и от core к utils.]</w:t>
      </w:r>
    </w:p>
    <w:p>
      <w:pPr>
        <w:spacing w:after="240"/>
        <w:ind w:firstLine="0"/>
        <w:jc w:val="center"/>
      </w:pPr>
      <w:r>
        <w:t>Рисунок 1 – Архитектура программного обеспечения «MOS Aging Analyzer»</w:t>
      </w:r>
    </w:p>
    <w:p>
      <w:pPr>
        <w:pStyle w:val="Heading3"/>
        <w:ind w:firstLine="0"/>
      </w:pPr>
      <w:r>
        <w:t>2.1.5 Структура кодовой базы</w:t>
      </w:r>
    </w:p>
    <w:p>
      <w:r>
        <w:rPr>
          <w:b w:val="0"/>
          <w:i w:val="0"/>
        </w:rPr>
        <w:t>Исходный код проекта организован в виде иерархии Python-пакетов, отражающей принятую архитектурную декомпозицию. Каждая директория содержит стандартный файл __init__.py, делающий ее Python-пакетом. В корне проекта расположены файлы конфигурации сборки автономного исполняемого файла (MOS_Aging_Analyzer.spec для PyInstaller и installer.iss для Inno Setup), а также описание зависимостей requirements.txt. Принятая организация кода соответствует распространенным практикам структурирования Python-проектов и обеспечивает удобство навигации по исходному тексту при дальнейшем развитии инструмента.</w:t>
      </w:r>
    </w:p>
    <w:p>
      <w:r>
        <w:rPr>
          <w:b w:val="0"/>
          <w:i w:val="0"/>
        </w:rPr>
        <w:t>Реализованная архитектура обеспечивает четкое разделение ответственности между уровнями программы и допускает расширение возможностей – например, добавление новых физических моделей деградации, поддержку альтернативных форматов входных данных или замену графического интерфейса на веб-интерфейс – без переработки расчетного ядра.</w:t>
      </w:r>
    </w:p>
    <w:p>
      <w:pPr>
        <w:pStyle w:val="Heading2"/>
        <w:ind w:firstLine="0"/>
      </w:pPr>
      <w:r>
        <w:t>2.2 Алгоритм функционирования программы</w:t>
      </w:r>
    </w:p>
    <w:p>
      <w:r>
        <w:rPr>
          <w:b w:val="0"/>
          <w:i w:val="0"/>
        </w:rPr>
        <w:t>Алгоритм работы программы организован в виде пятишагового мастера, в котором каждый шаг соответствует определенной стадии анализа деградации. Принятая организация позволяет пользователю контролировать каждый этап обработки и при необходимости вернуться к предыдущему шагу для корректировки исходных данных.</w:t>
      </w:r>
    </w:p>
    <w:p>
      <w:pPr>
        <w:spacing w:before="120"/>
        <w:ind w:firstLine="0"/>
        <w:jc w:val="center"/>
      </w:pPr>
      <w:r>
        <w:rPr>
          <w:i/>
          <w:color w:val="707070"/>
        </w:rPr>
        <w:t>[МЕСТО ДЛЯ РИСУНКА: блок-схема с пятью основными блоками-шагами: «Шаг 1: Загрузка netlist», «Шаг 2: Выбор транзисторов», «Шаг 3: Подготовка симуляции (.inc-файл)», «Шаг 4: Загрузка .log + расчет деградации», «Шаг 5: HTML-отчет + постаревший netlist». Между шагами 3 и 4 выделен внешний блок «Симуляция в LTspice пользователем», обозначающий точку выхода данных за пределы программы и возврата результата обратно.]</w:t>
      </w:r>
    </w:p>
    <w:p>
      <w:pPr>
        <w:spacing w:after="240"/>
        <w:ind w:firstLine="0"/>
        <w:jc w:val="center"/>
      </w:pPr>
      <w:r>
        <w:t>Рисунок 2 – Блок-схема алгоритма работы программы</w:t>
      </w:r>
    </w:p>
    <w:p>
      <w:r>
        <w:rPr>
          <w:b w:val="0"/>
          <w:i w:val="0"/>
        </w:rPr>
        <w:t>На первом шаге пользователь выбирает netlist-файл, полученный экспортом из LTspice через пункт меню View → SPICE Netlist. Программа разбирает файл, извлекая полный список МОП-транзисторов и параметры их моделей. На втором шаге отображается список найденных транзисторов с их типом и геометрическими параметрами, и пользователь отмечает транзисторы, подлежащие анализу деградации.</w:t>
      </w:r>
    </w:p>
    <w:p>
      <w:r>
        <w:rPr>
          <w:b w:val="0"/>
          <w:i w:val="0"/>
        </w:rPr>
        <w:t>На третьем шаге программа формирует include-файл, содержащий SPICE-директивы для измерения параметров, необходимых при расчете деградации. Для NMOS-транзисторов в файл добавляются поведенческий источник тока B, моделирующий ток ударной ионизации, и три директивы .measure для интегрирования и нахождения максимума указанного тока, а также максимума тока стока. Для PMOS-транзисторов формируются две директивы .measure, измеряющие максимум произведения напряжений источник–затвор и сток–затвор и интеграл модуля напряжения источник–затвор. Сформированный include-файл сохраняется рядом со схемой и подключается пользователем через директиву .include в LTspice.</w:t>
      </w:r>
    </w:p>
    <w:p>
      <w:r>
        <w:rPr>
          <w:b w:val="0"/>
          <w:i w:val="0"/>
        </w:rPr>
        <w:t>Вне рамок программы пользователь запускает транзиентный расчет в LTspice. По завершении расчета симулятор сохраняет файл с расширением .log, содержащий результаты выполнения директив .measure. Указанный файл пользователь подгружает в программу на четвертом шаге. После ввода параметров расчета (срока службы транзисторов и порогового напряжения PMOS-моделей) запускается процедура расчета деградации. На пятом шаге выводятся результаты анализа, формируется HTML-отчет и записывается постаревший netlist-файл, пригодный для повторной симуляции в LTspice.</w:t>
      </w:r>
    </w:p>
    <w:p>
      <w:r>
        <w:rPr>
          <w:b w:val="0"/>
          <w:i w:val="0"/>
        </w:rPr>
        <w:t>Принятая организация алгоритма обеспечивает явное разделение действий программы и действий пользователя, согласуется с используемым способом интеграции с LTspice и упрощает воспроизведение результатов анализа.</w:t>
      </w:r>
    </w:p>
    <w:p>
      <w:pPr>
        <w:pStyle w:val="Heading2"/>
        <w:ind w:firstLine="0"/>
      </w:pPr>
      <w:r>
        <w:t>2.3 Разработка парсера для LTspice</w:t>
      </w:r>
    </w:p>
    <w:p>
      <w:r>
        <w:rPr>
          <w:b w:val="0"/>
          <w:i w:val="0"/>
        </w:rPr>
        <w:t>Подсистема парсинга является входной точкой обработки данных в программе и реализована в модуле netlist_parser.py. Парсер обрабатывает два независимых формата файлов: SPICE-netlist, поступающий от LTspice до симуляции, и Spice Error Log, формируемый симулятором по результатам выполнения транзиентного расчета.</w:t>
      </w:r>
    </w:p>
    <w:p>
      <w:pPr>
        <w:pStyle w:val="Heading3"/>
        <w:ind w:firstLine="0"/>
      </w:pPr>
      <w:r>
        <w:t>2.3.1 Структура данных</w:t>
      </w:r>
    </w:p>
    <w:p>
      <w:r>
        <w:rPr>
          <w:b w:val="0"/>
          <w:i w:val="0"/>
        </w:rPr>
        <w:t>Для унифицированного представления извлеченной информации в модуле определены четыре класса данных, реализованных через декоратор @dataclass стандартной библиотеки Python. Класс Transistor описывает один МОП-транзистор и содержит его имя, имена узлов стока, затвора, истока и подложки, имя SPICE-модели, геометрические параметры (длину и ширину канала в метрах) и исходную строку netlist. Свойства is_nmos и is_pmos позволяют определить тип транзистора по имени модели. Класс NetlistData объединяет все строки netlist-файла, путь к исходному .asc-файлу схемы, список найденных транзисторов и значения эффективной толщины подзатворного оксида для NMOS- и PMOS-моделей.</w:t>
      </w:r>
    </w:p>
    <w:p>
      <w:r>
        <w:rPr>
          <w:b w:val="0"/>
          <w:i w:val="0"/>
        </w:rPr>
        <w:t>Класс LogMeasurement описывает одно измерение из Spice Error Log: его имя, числовое значение и временной интервал, на котором оно вычислялось. Класс LogData объединяет словарь всех измерений, температуру моделирования и общее время симуляции, извлекаемое как максимум среди временных интервалов измерений.</w:t>
      </w:r>
    </w:p>
    <w:p>
      <w:pPr>
        <w:spacing w:before="120"/>
        <w:ind w:firstLine="0"/>
        <w:jc w:val="left"/>
      </w:pPr>
      <w:r>
        <w:rPr>
          <w:i/>
          <w:color w:val="707070"/>
        </w:rPr>
        <w:t>[МЕСТО ДЛЯ РИСУНКА: скриншот фрагмента core/netlist_parser.py с определениями классов Transistor и LogMeasurement через @dataclass. Текст:]</w:t>
      </w:r>
    </w:p>
    <w:p>
      <w:pPr>
        <w:spacing w:line="240" w:lineRule="auto"/>
        <w:ind w:firstLine="0" w:left="283"/>
      </w:pPr>
      <w:r>
        <w:rPr>
          <w:rFonts w:ascii="Consolas" w:hAnsi="Consolas"/>
          <w:i/>
          <w:color w:val="555555"/>
          <w:sz w:val="18"/>
        </w:rPr>
        <w:t>@dataclass</w:t>
      </w:r>
    </w:p>
    <w:p>
      <w:pPr>
        <w:spacing w:line="240" w:lineRule="auto"/>
        <w:ind w:firstLine="0" w:left="283"/>
      </w:pPr>
      <w:r>
        <w:rPr>
          <w:rFonts w:ascii="Consolas" w:hAnsi="Consolas"/>
          <w:i/>
          <w:color w:val="555555"/>
          <w:sz w:val="18"/>
        </w:rPr>
        <w:t>class Transistor:</w:t>
      </w:r>
    </w:p>
    <w:p>
      <w:pPr>
        <w:spacing w:line="240" w:lineRule="auto"/>
        <w:ind w:firstLine="0" w:left="283"/>
      </w:pPr>
      <w:r>
        <w:rPr>
          <w:rFonts w:ascii="Consolas" w:hAnsi="Consolas"/>
          <w:i/>
          <w:color w:val="555555"/>
          <w:sz w:val="18"/>
        </w:rPr>
        <w:t xml:space="preserve">    name: str           # M1, M2, ...</w:t>
      </w:r>
    </w:p>
    <w:p>
      <w:pPr>
        <w:spacing w:line="240" w:lineRule="auto"/>
        <w:ind w:firstLine="0" w:left="283"/>
      </w:pPr>
      <w:r>
        <w:rPr>
          <w:rFonts w:ascii="Consolas" w:hAnsi="Consolas"/>
          <w:i/>
          <w:color w:val="555555"/>
          <w:sz w:val="18"/>
        </w:rPr>
        <w:t xml:space="preserve">    drain: str</w:t>
      </w:r>
    </w:p>
    <w:p>
      <w:pPr>
        <w:spacing w:line="240" w:lineRule="auto"/>
        <w:ind w:firstLine="0" w:left="283"/>
      </w:pPr>
      <w:r>
        <w:rPr>
          <w:rFonts w:ascii="Consolas" w:hAnsi="Consolas"/>
          <w:i/>
          <w:color w:val="555555"/>
          <w:sz w:val="18"/>
        </w:rPr>
        <w:t xml:space="preserve">    gate: str</w:t>
      </w:r>
    </w:p>
    <w:p>
      <w:pPr>
        <w:spacing w:line="240" w:lineRule="auto"/>
        <w:ind w:firstLine="0" w:left="283"/>
      </w:pPr>
      <w:r>
        <w:rPr>
          <w:rFonts w:ascii="Consolas" w:hAnsi="Consolas"/>
          <w:i/>
          <w:color w:val="555555"/>
          <w:sz w:val="18"/>
        </w:rPr>
        <w:t xml:space="preserve">    source: str</w:t>
      </w:r>
    </w:p>
    <w:p>
      <w:pPr>
        <w:spacing w:line="240" w:lineRule="auto"/>
        <w:ind w:firstLine="0" w:left="283"/>
      </w:pPr>
      <w:r>
        <w:rPr>
          <w:rFonts w:ascii="Consolas" w:hAnsi="Consolas"/>
          <w:i/>
          <w:color w:val="555555"/>
          <w:sz w:val="18"/>
        </w:rPr>
        <w:t xml:space="preserve">    bulk: str</w:t>
      </w:r>
    </w:p>
    <w:p>
      <w:pPr>
        <w:spacing w:line="240" w:lineRule="auto"/>
        <w:ind w:firstLine="0" w:left="283"/>
      </w:pPr>
      <w:r>
        <w:rPr>
          <w:rFonts w:ascii="Consolas" w:hAnsi="Consolas"/>
          <w:i/>
          <w:color w:val="555555"/>
          <w:sz w:val="18"/>
        </w:rPr>
        <w:t xml:space="preserve">    model: str          # NMOS / PMOS / CMOSN / CMOSP</w:t>
      </w:r>
    </w:p>
    <w:p>
      <w:pPr>
        <w:spacing w:line="240" w:lineRule="auto"/>
        <w:ind w:firstLine="0" w:left="283"/>
      </w:pPr>
      <w:r>
        <w:rPr>
          <w:rFonts w:ascii="Consolas" w:hAnsi="Consolas"/>
          <w:i/>
          <w:color w:val="555555"/>
          <w:sz w:val="18"/>
        </w:rPr>
        <w:t xml:space="preserve">    length_m: float     # длина канала в метрах</w:t>
      </w:r>
    </w:p>
    <w:p>
      <w:pPr>
        <w:spacing w:line="240" w:lineRule="auto"/>
        <w:ind w:firstLine="0" w:left="283"/>
      </w:pPr>
      <w:r>
        <w:rPr>
          <w:rFonts w:ascii="Consolas" w:hAnsi="Consolas"/>
          <w:i/>
          <w:color w:val="555555"/>
          <w:sz w:val="18"/>
        </w:rPr>
        <w:t xml:space="preserve">    width_m: float      # ширина канала в метрах</w:t>
      </w:r>
    </w:p>
    <w:p>
      <w:pPr>
        <w:spacing w:line="240" w:lineRule="auto"/>
        <w:ind w:firstLine="0" w:left="283"/>
      </w:pPr>
      <w:r>
        <w:rPr>
          <w:rFonts w:ascii="Consolas" w:hAnsi="Consolas"/>
          <w:i/>
          <w:color w:val="555555"/>
          <w:sz w:val="18"/>
        </w:rPr>
        <w:t xml:space="preserve">    raw_line: str       # исходная строка из netlist</w:t>
      </w:r>
    </w:p>
    <w:p>
      <w:pPr>
        <w:spacing w:line="240" w:lineRule="auto"/>
        <w:ind w:firstLine="0" w:left="283"/>
      </w:pPr>
      <w:r>
        <w:rPr>
          <w:rFonts w:ascii="Consolas" w:hAnsi="Consolas"/>
          <w:i/>
          <w:color w:val="555555"/>
          <w:sz w:val="18"/>
        </w:rPr>
      </w:r>
    </w:p>
    <w:p>
      <w:pPr>
        <w:spacing w:line="240" w:lineRule="auto"/>
        <w:ind w:firstLine="0" w:left="283"/>
      </w:pPr>
      <w:r>
        <w:rPr>
          <w:rFonts w:ascii="Consolas" w:hAnsi="Consolas"/>
          <w:i/>
          <w:color w:val="555555"/>
          <w:sz w:val="18"/>
        </w:rPr>
        <w:t>@dataclass</w:t>
      </w:r>
    </w:p>
    <w:p>
      <w:pPr>
        <w:spacing w:line="240" w:lineRule="auto"/>
        <w:ind w:firstLine="0" w:left="283"/>
      </w:pPr>
      <w:r>
        <w:rPr>
          <w:rFonts w:ascii="Consolas" w:hAnsi="Consolas"/>
          <w:i/>
          <w:color w:val="555555"/>
          <w:sz w:val="18"/>
        </w:rPr>
        <w:t>class LogMeasurement:</w:t>
      </w:r>
    </w:p>
    <w:p>
      <w:pPr>
        <w:spacing w:line="240" w:lineRule="auto"/>
        <w:ind w:firstLine="0" w:left="283"/>
      </w:pPr>
      <w:r>
        <w:rPr>
          <w:rFonts w:ascii="Consolas" w:hAnsi="Consolas"/>
          <w:i/>
          <w:color w:val="555555"/>
          <w:sz w:val="18"/>
        </w:rPr>
        <w:t xml:space="preserve">    name: str</w:t>
      </w:r>
    </w:p>
    <w:p>
      <w:pPr>
        <w:spacing w:line="240" w:lineRule="auto"/>
        <w:ind w:firstLine="0" w:left="283"/>
      </w:pPr>
      <w:r>
        <w:rPr>
          <w:rFonts w:ascii="Consolas" w:hAnsi="Consolas"/>
          <w:i/>
          <w:color w:val="555555"/>
          <w:sz w:val="18"/>
        </w:rPr>
        <w:t xml:space="preserve">    value: float</w:t>
      </w:r>
    </w:p>
    <w:p>
      <w:pPr>
        <w:spacing w:line="240" w:lineRule="auto"/>
        <w:ind w:firstLine="0" w:left="283"/>
      </w:pPr>
      <w:r>
        <w:rPr>
          <w:rFonts w:ascii="Consolas" w:hAnsi="Consolas"/>
          <w:i/>
          <w:color w:val="555555"/>
          <w:sz w:val="18"/>
        </w:rPr>
        <w:t xml:space="preserve">    time_start: float</w:t>
      </w:r>
    </w:p>
    <w:p>
      <w:pPr>
        <w:spacing w:line="240" w:lineRule="auto"/>
        <w:ind w:firstLine="0" w:left="283"/>
      </w:pPr>
      <w:r>
        <w:rPr>
          <w:rFonts w:ascii="Consolas" w:hAnsi="Consolas"/>
          <w:i/>
          <w:color w:val="555555"/>
          <w:sz w:val="18"/>
        </w:rPr>
        <w:t xml:space="preserve">    time_end: float</w:t>
      </w:r>
    </w:p>
    <w:p>
      <w:pPr>
        <w:spacing w:after="240"/>
        <w:ind w:firstLine="0"/>
        <w:jc w:val="center"/>
      </w:pPr>
      <w:r>
        <w:t>Рисунок 3 – Внутреннее представление данных о транзисторах и измерениях</w:t>
      </w:r>
    </w:p>
    <w:p>
      <w:pPr>
        <w:pStyle w:val="Heading3"/>
        <w:ind w:firstLine="0"/>
      </w:pPr>
      <w:r>
        <w:t>2.3.2 Разбор netlist</w:t>
      </w:r>
    </w:p>
    <w:p>
      <w:r>
        <w:rPr>
          <w:b w:val="0"/>
          <w:i w:val="0"/>
        </w:rPr>
        <w:t>Функция parse_netlist выполняет построчный обход содержимого входного файла. Каждая строка проверяется на наличие префикса M в первой позиции – характерного признака описания МОП-транзистора в SPICE-нотации. При обнаружении такой строки вспомогательная функция _parse_transistor_line производит токенизацию и извлекает позиционные параметры (имена четырех узлов и имя модели) и именованные параметры – длину и ширину канала. Для разбора численных значений с SPICE-суффиксами (например, «100n», «1.2u», «3.9e-9») реализована функция parse_spice_value, поддерживающая стандартный набор префиксов от фемто- до гига-.</w:t>
      </w:r>
    </w:p>
    <w:p>
      <w:r>
        <w:rPr>
          <w:b w:val="0"/>
          <w:i w:val="0"/>
        </w:rPr>
        <w:t>Параллельно с разбором строк транзисторов выполняется поиск значений эффективной толщины подзатворного оксида в строках .model. Функция _parse_tox поддерживает оба формата записи параметра, встречающиеся в SPICE-моделях: слитный («toxe=3.9e-9») и с пробелами вокруг знака равенства («toxe = 3.9e-9»), как принято в моделях BSIM4 серии PTM. Найденные значения связываются с типом модели (NMOS или PMOS) и сохраняются в полях tox_nmos и tox_pmos класса NetlistData.</w:t>
      </w:r>
    </w:p>
    <w:p>
      <w:pPr>
        <w:spacing w:before="120"/>
        <w:ind w:firstLine="0"/>
        <w:jc w:val="left"/>
      </w:pPr>
      <w:r>
        <w:rPr>
          <w:i/>
          <w:color w:val="707070"/>
        </w:rPr>
        <w:t>[МЕСТО ДЛЯ РИСУНКА: скриншот функции _parse_transistor_line из core/netlist_parser.py. Текст:]</w:t>
      </w:r>
    </w:p>
    <w:p>
      <w:pPr>
        <w:spacing w:line="240" w:lineRule="auto"/>
        <w:ind w:firstLine="0" w:left="283"/>
      </w:pPr>
      <w:r>
        <w:rPr>
          <w:rFonts w:ascii="Consolas" w:hAnsi="Consolas"/>
          <w:i/>
          <w:color w:val="555555"/>
          <w:sz w:val="18"/>
        </w:rPr>
        <w:t>def _parse_transistor_line(raw: str) -&gt; Optional[Transistor]:</w:t>
      </w:r>
    </w:p>
    <w:p>
      <w:pPr>
        <w:spacing w:line="240" w:lineRule="auto"/>
        <w:ind w:firstLine="0" w:left="283"/>
      </w:pPr>
      <w:r>
        <w:rPr>
          <w:rFonts w:ascii="Consolas" w:hAnsi="Consolas"/>
          <w:i/>
          <w:color w:val="555555"/>
          <w:sz w:val="18"/>
        </w:rPr>
        <w:t xml:space="preserve">    tokens = raw.split()</w:t>
      </w:r>
    </w:p>
    <w:p>
      <w:pPr>
        <w:spacing w:line="240" w:lineRule="auto"/>
        <w:ind w:firstLine="0" w:left="283"/>
      </w:pPr>
      <w:r>
        <w:rPr>
          <w:rFonts w:ascii="Consolas" w:hAnsi="Consolas"/>
          <w:i/>
          <w:color w:val="555555"/>
          <w:sz w:val="18"/>
        </w:rPr>
        <w:t xml:space="preserve">    if not tokens or tokens[0][0] not in ("M", "m"):</w:t>
      </w:r>
    </w:p>
    <w:p>
      <w:pPr>
        <w:spacing w:line="240" w:lineRule="auto"/>
        <w:ind w:firstLine="0" w:left="283"/>
      </w:pPr>
      <w:r>
        <w:rPr>
          <w:rFonts w:ascii="Consolas" w:hAnsi="Consolas"/>
          <w:i/>
          <w:color w:val="555555"/>
          <w:sz w:val="18"/>
        </w:rPr>
        <w:t xml:space="preserve">        return None</w:t>
      </w:r>
    </w:p>
    <w:p>
      <w:pPr>
        <w:spacing w:line="240" w:lineRule="auto"/>
        <w:ind w:firstLine="0" w:left="283"/>
      </w:pPr>
      <w:r>
        <w:rPr>
          <w:rFonts w:ascii="Consolas" w:hAnsi="Consolas"/>
          <w:i/>
          <w:color w:val="555555"/>
          <w:sz w:val="18"/>
        </w:rPr>
        <w:t xml:space="preserve">    if len(tokens) &lt; 7:</w:t>
      </w:r>
    </w:p>
    <w:p>
      <w:pPr>
        <w:spacing w:line="240" w:lineRule="auto"/>
        <w:ind w:firstLine="0" w:left="283"/>
      </w:pPr>
      <w:r>
        <w:rPr>
          <w:rFonts w:ascii="Consolas" w:hAnsi="Consolas"/>
          <w:i/>
          <w:color w:val="555555"/>
          <w:sz w:val="18"/>
        </w:rPr>
        <w:t xml:space="preserve">        return None</w:t>
      </w:r>
    </w:p>
    <w:p>
      <w:pPr>
        <w:spacing w:line="240" w:lineRule="auto"/>
        <w:ind w:firstLine="0" w:left="283"/>
      </w:pPr>
      <w:r>
        <w:rPr>
          <w:rFonts w:ascii="Consolas" w:hAnsi="Consolas"/>
          <w:i/>
          <w:color w:val="555555"/>
          <w:sz w:val="18"/>
        </w:rPr>
        <w:t xml:space="preserve">    name = tokens[0].upper()</w:t>
      </w:r>
    </w:p>
    <w:p>
      <w:pPr>
        <w:spacing w:line="240" w:lineRule="auto"/>
        <w:ind w:firstLine="0" w:left="283"/>
      </w:pPr>
      <w:r>
        <w:rPr>
          <w:rFonts w:ascii="Consolas" w:hAnsi="Consolas"/>
          <w:i/>
          <w:color w:val="555555"/>
          <w:sz w:val="18"/>
        </w:rPr>
        <w:t xml:space="preserve">    drain, gate, source, bulk = tokens[1:5]</w:t>
      </w:r>
    </w:p>
    <w:p>
      <w:pPr>
        <w:spacing w:line="240" w:lineRule="auto"/>
        <w:ind w:firstLine="0" w:left="283"/>
      </w:pPr>
      <w:r>
        <w:rPr>
          <w:rFonts w:ascii="Consolas" w:hAnsi="Consolas"/>
          <w:i/>
          <w:color w:val="555555"/>
          <w:sz w:val="18"/>
        </w:rPr>
        <w:t xml:space="preserve">    model = tokens[5]</w:t>
      </w:r>
    </w:p>
    <w:p>
      <w:pPr>
        <w:spacing w:line="240" w:lineRule="auto"/>
        <w:ind w:firstLine="0" w:left="283"/>
      </w:pPr>
      <w:r>
        <w:rPr>
          <w:rFonts w:ascii="Consolas" w:hAnsi="Consolas"/>
          <w:i/>
          <w:color w:val="555555"/>
          <w:sz w:val="18"/>
        </w:rPr>
        <w:t xml:space="preserve">    tok_l = _find_param_token(tokens[6:], "l")</w:t>
      </w:r>
    </w:p>
    <w:p>
      <w:pPr>
        <w:spacing w:line="240" w:lineRule="auto"/>
        <w:ind w:firstLine="0" w:left="283"/>
      </w:pPr>
      <w:r>
        <w:rPr>
          <w:rFonts w:ascii="Consolas" w:hAnsi="Consolas"/>
          <w:i/>
          <w:color w:val="555555"/>
          <w:sz w:val="18"/>
        </w:rPr>
        <w:t xml:space="preserve">    tok_w = _find_param_token(tokens[6:], "w")</w:t>
      </w:r>
    </w:p>
    <w:p>
      <w:pPr>
        <w:spacing w:line="240" w:lineRule="auto"/>
        <w:ind w:firstLine="0" w:left="283"/>
      </w:pPr>
      <w:r>
        <w:rPr>
          <w:rFonts w:ascii="Consolas" w:hAnsi="Consolas"/>
          <w:i/>
          <w:color w:val="555555"/>
          <w:sz w:val="18"/>
        </w:rPr>
        <w:t xml:space="preserve">    length_m = _extract_param(tok_l) if tok_l else 0.0</w:t>
      </w:r>
    </w:p>
    <w:p>
      <w:pPr>
        <w:spacing w:line="240" w:lineRule="auto"/>
        <w:ind w:firstLine="0" w:left="283"/>
      </w:pPr>
      <w:r>
        <w:rPr>
          <w:rFonts w:ascii="Consolas" w:hAnsi="Consolas"/>
          <w:i/>
          <w:color w:val="555555"/>
          <w:sz w:val="18"/>
        </w:rPr>
        <w:t xml:space="preserve">    width_m  = _extract_param(tok_w) if tok_w else 0.0</w:t>
      </w:r>
    </w:p>
    <w:p>
      <w:pPr>
        <w:spacing w:line="240" w:lineRule="auto"/>
        <w:ind w:firstLine="0" w:left="283"/>
      </w:pPr>
      <w:r>
        <w:rPr>
          <w:rFonts w:ascii="Consolas" w:hAnsi="Consolas"/>
          <w:i/>
          <w:color w:val="555555"/>
          <w:sz w:val="18"/>
        </w:rPr>
        <w:t xml:space="preserve">    return Transistor(name=name, drain=drain, gate=gate,</w:t>
      </w:r>
    </w:p>
    <w:p>
      <w:pPr>
        <w:spacing w:line="240" w:lineRule="auto"/>
        <w:ind w:firstLine="0" w:left="283"/>
      </w:pPr>
      <w:r>
        <w:rPr>
          <w:rFonts w:ascii="Consolas" w:hAnsi="Consolas"/>
          <w:i/>
          <w:color w:val="555555"/>
          <w:sz w:val="18"/>
        </w:rPr>
        <w:t xml:space="preserve">                      source=source, bulk=bulk, model=model,</w:t>
      </w:r>
    </w:p>
    <w:p>
      <w:pPr>
        <w:spacing w:line="240" w:lineRule="auto"/>
        <w:ind w:firstLine="0" w:left="283"/>
      </w:pPr>
      <w:r>
        <w:rPr>
          <w:rFonts w:ascii="Consolas" w:hAnsi="Consolas"/>
          <w:i/>
          <w:color w:val="555555"/>
          <w:sz w:val="18"/>
        </w:rPr>
        <w:t xml:space="preserve">                      length_m=length_m, width_m=width_m,</w:t>
      </w:r>
    </w:p>
    <w:p>
      <w:pPr>
        <w:spacing w:line="240" w:lineRule="auto"/>
        <w:ind w:firstLine="0" w:left="283"/>
      </w:pPr>
      <w:r>
        <w:rPr>
          <w:rFonts w:ascii="Consolas" w:hAnsi="Consolas"/>
          <w:i/>
          <w:color w:val="555555"/>
          <w:sz w:val="18"/>
        </w:rPr>
        <w:t xml:space="preserve">                      raw_line=raw)</w:t>
      </w:r>
    </w:p>
    <w:p>
      <w:pPr>
        <w:spacing w:after="240"/>
        <w:ind w:firstLine="0"/>
        <w:jc w:val="center"/>
      </w:pPr>
      <w:r>
        <w:t>Рисунок 4 – Функция разбора строки описания МОП-транзистора</w:t>
      </w:r>
    </w:p>
    <w:p>
      <w:pPr>
        <w:pStyle w:val="Heading3"/>
        <w:ind w:firstLine="0"/>
      </w:pPr>
      <w:r>
        <w:t>2.3.3 Разбор Spice Error Log</w:t>
      </w:r>
    </w:p>
    <w:p>
      <w:r>
        <w:rPr>
          <w:b w:val="0"/>
          <w:i w:val="0"/>
        </w:rPr>
        <w:t>Функция parse_log реализует разбор файла .log, формируемого LTspice по результатам транзиентного расчета. Парсер использует регулярное выражение для распознавания строк вида «hci_m1: integ(I(B1Ib))=1.234e-12 FROM 0 TO 5e-9», в которых содержатся имя измерения, его численное значение и временные границы вычисления. Помимо собственно измерений функция извлекает значение температуры моделирования из директивы .temp.</w:t>
      </w:r>
    </w:p>
    <w:p>
      <w:r>
        <w:rPr>
          <w:b w:val="0"/>
          <w:i w:val="0"/>
        </w:rPr>
        <w:t>Парсер поддерживает два режима поиска. В основном режиме он находит блок измерений по имени первой ожидаемой записи, после чего считывает заданное число строк подряд. В резервном режиме, активируемом при отсутствии первого ожидаемого измерения, парсер сканирует весь файл и сохраняет все найденные записи. Реализованный подход обеспечивает устойчивость к незначительным изменениям формата лога между версиями LTspice. Все найденные измерения собираются в словарь, ключами которого являются имена в нижнем регистре, а значениями – экземпляры класса LogMeasurement.</w:t>
      </w:r>
    </w:p>
    <w:p>
      <w:r>
        <w:rPr>
          <w:b w:val="0"/>
          <w:i w:val="0"/>
        </w:rPr>
        <w:t>Корректность работы обоих парсеров проверена на реальных файлах netlist и .log, формируемых LTspice 24 для тестовых КМОП-схем с проектными нормами 32 нм. На выходе парсеров формируется структурированное представление исходных данных, передаваемое в модуль расчета деградации без дополнительных преобразований.</w:t>
      </w:r>
    </w:p>
    <w:p>
      <w:pPr>
        <w:pStyle w:val="Heading3"/>
        <w:ind w:firstLine="0"/>
      </w:pPr>
      <w:r>
        <w:t>2.3.4 Чтение файлов с автоопределением кодировки</w:t>
      </w:r>
    </w:p>
    <w:p>
      <w:r>
        <w:rPr>
          <w:b w:val="0"/>
          <w:i w:val="0"/>
        </w:rPr>
        <w:t>Особенностью файлов LTspice, формируемых на компьютерах с русской локализацией, является использование кодировки UTF-16-LE с возможным префиксом BOM. Для корректной работы парсера во вспомогательном модуле utils/file_io.py реализована функция read_lines с автоматическим определением кодировки. Функция последовательно проверяет: наличие BOM или нулевых байт в первых двух байтах файла – признак UTF-16-LE; наличие кириллических символов в пути к файлу – дополнительный признак кодировки UTF-16-LE; кодировки UTF-8, CP1251, Latin-1 – в порядке предпочтения. Реализованная схема обеспечивает совместимость с основными вариантами кодировок, встречающимися в практике работы с LTspice.</w:t>
      </w:r>
    </w:p>
    <w:p>
      <w:pPr>
        <w:pStyle w:val="Heading2"/>
        <w:ind w:firstLine="0"/>
      </w:pPr>
      <w:r>
        <w:t>2.4 Разработка модуля анализа режимов работы</w:t>
      </w:r>
    </w:p>
    <w:p>
      <w:r>
        <w:rPr>
          <w:b w:val="0"/>
          <w:i w:val="0"/>
        </w:rPr>
        <w:t>Модуль анализа режимов работы реализован как набор функций модуля netlist_parser.py, отвечающих за формирование SPICE-директив для измерения характеристик каждого транзистора в условиях, соответствующих режимам HCI и NBTI. В отличие от классического подхода, при котором временной ряд напряжений сканируется в Python и режим определяется по значениям сигналов, в разработанной программе анализ режимов вынесен непосредственно в SPICE-директивы и выполняется самим симулятором LTspice. Принятый подход обеспечивает высокую точность измерений (с шагом, определяемым внутренним временным шагом симулятора), исключает необходимость передачи объемных бинарных данных результатов транзиентного расчета между LTspice и Python и существенно упрощает реализацию.</w:t>
      </w:r>
    </w:p>
    <w:p>
      <w:pPr>
        <w:pStyle w:val="Heading3"/>
        <w:ind w:firstLine="0"/>
      </w:pPr>
      <w:r>
        <w:t>2.4.1 Формирование измерений для режима HCI</w:t>
      </w:r>
    </w:p>
    <w:p>
      <w:r>
        <w:rPr>
          <w:b w:val="0"/>
          <w:i w:val="0"/>
        </w:rPr>
        <w:t>Деградация NMOS-транзисторов вследствие эффекта горячих носителей определяется током ударной ионизации, протекающим в области стока. Для измерения тока программа добавляет в схему поведенческий источник тока B, формула которого получена из compact-модели и связывает мгновенное значение тока ударной ионизации с током стока, длиной канала и напряжениями на выводах транзистора:</w:t>
      </w:r>
    </w:p>
    <w:p>
      <w:pPr>
        <w:spacing w:before="120" w:after="120"/>
        <w:ind w:firstLine="0"/>
        <w:jc w:val="center"/>
      </w:pPr>
      <w:r>
        <w:rPr>
          <w:rFonts w:ascii="Cambria Math" w:hAnsi="Cambria Math"/>
          <w:i/>
        </w:rPr>
        <w:t xml:space="preserve">I_hci = 10⁻⁵ · I_d · (1/L_нм)^2,5 · exp(5,7·(V_D − V_S)) · exp(−1,21·(V_D − V_G))   </w:t>
      </w:r>
      <w:r>
        <w:t>(1)</w:t>
      </w:r>
    </w:p>
    <w:p>
      <w:r>
        <w:rPr>
          <w:b w:val="0"/>
          <w:i w:val="0"/>
        </w:rPr>
        <w:t>Множитель (1/L_нм)^2,5 обеспечивает масштабирование формулы по длине канала и позволяет использовать выражение единообразно от 180 нм до 28 нм. Экспоненциальные сомножители описывают зависимость от латерального поля в канале и от поля в оксиде соответственно [4]. Поведенческий источник тока B нагружен на резистор сопротивлением 1 Ом, что позволяет интегрировать его ток средствами LTspice.</w:t>
      </w:r>
    </w:p>
    <w:p>
      <w:r>
        <w:rPr>
          <w:b w:val="0"/>
          <w:i w:val="0"/>
        </w:rPr>
        <w:t>Для каждого NMOS-транзистора программа формирует пять SPICE-директив: описание поведенческого источника тока, описание резистора, директиву .measure для интегрирования тока ударной ионизации по времени симуляции, директиву .measure для нахождения максимального значения указанного тока и директиву .measure для нахождения максимума тока стока. Получаемые величины используются модулем расчета деградации для определения активного времени работы транзистора в режиме HCI и расчета сдвига порогового напряжения по compact-модели.</w:t>
      </w:r>
    </w:p>
    <w:p>
      <w:pPr>
        <w:pStyle w:val="Heading3"/>
        <w:ind w:firstLine="0"/>
      </w:pPr>
      <w:r>
        <w:t>2.4.2 Формирование измерений для режима NBTI</w:t>
      </w:r>
    </w:p>
    <w:p>
      <w:r>
        <w:rPr>
          <w:b w:val="0"/>
          <w:i w:val="0"/>
        </w:rPr>
        <w:t>Деградация PMOS-транзисторов вследствие нестабильности порогового напряжения определяется напряжением на затворе при включенном состоянии и выражается через интеграл модуля напряжения источник–затвор и максимальное значение произведения напряжений источник–затвор и сток–затвор. Для каждого PMOS-транзистора программа формирует две SPICE-директивы .measure, реализующие соответствующие операции.</w:t>
      </w:r>
    </w:p>
    <w:p>
      <w:r>
        <w:rPr>
          <w:b w:val="0"/>
          <w:i w:val="0"/>
        </w:rPr>
        <w:t>Сформированные директивы для всех выбранных транзисторов объединяются в единый include-файл, который сохраняется в той же директории, что и исходная схема. Пользователь подключает указанный файл к схеме в LTspice через директиву .include и запускает транзиентный расчет.</w:t>
      </w:r>
    </w:p>
    <w:p>
      <w:pPr>
        <w:spacing w:before="120"/>
        <w:ind w:firstLine="0"/>
        <w:jc w:val="left"/>
      </w:pPr>
      <w:r>
        <w:rPr>
          <w:i/>
          <w:color w:val="707070"/>
        </w:rPr>
        <w:t>[МЕСТО ДЛЯ РИСУНКА: скриншот функции generate_inc_lines из core/netlist_parser.py. Текст:]</w:t>
      </w:r>
    </w:p>
    <w:p>
      <w:pPr>
        <w:spacing w:line="240" w:lineRule="auto"/>
        <w:ind w:firstLine="0" w:left="283"/>
      </w:pPr>
      <w:r>
        <w:rPr>
          <w:rFonts w:ascii="Consolas" w:hAnsi="Consolas"/>
          <w:i/>
          <w:color w:val="555555"/>
          <w:sz w:val="18"/>
        </w:rPr>
        <w:t>def generate_inc_lines(transistors: list[Transistor]) -&gt; list[str]:</w:t>
      </w:r>
    </w:p>
    <w:p>
      <w:pPr>
        <w:spacing w:line="240" w:lineRule="auto"/>
        <w:ind w:firstLine="0" w:left="283"/>
      </w:pPr>
      <w:r>
        <w:rPr>
          <w:rFonts w:ascii="Consolas" w:hAnsi="Consolas"/>
          <w:i/>
          <w:color w:val="555555"/>
          <w:sz w:val="18"/>
        </w:rPr>
        <w:t xml:space="preserve">    lines: list[str] = []</w:t>
      </w:r>
    </w:p>
    <w:p>
      <w:pPr>
        <w:spacing w:line="240" w:lineRule="auto"/>
        <w:ind w:firstLine="0" w:left="283"/>
      </w:pPr>
      <w:r>
        <w:rPr>
          <w:rFonts w:ascii="Consolas" w:hAnsi="Consolas"/>
          <w:i/>
          <w:color w:val="555555"/>
          <w:sz w:val="18"/>
        </w:rPr>
        <w:t xml:space="preserve">    for t in transistors:</w:t>
      </w:r>
    </w:p>
    <w:p>
      <w:pPr>
        <w:spacing w:line="240" w:lineRule="auto"/>
        <w:ind w:firstLine="0" w:left="283"/>
      </w:pPr>
      <w:r>
        <w:rPr>
          <w:rFonts w:ascii="Consolas" w:hAnsi="Consolas"/>
          <w:i/>
          <w:color w:val="555555"/>
          <w:sz w:val="18"/>
        </w:rPr>
        <w:t xml:space="preserve">        num = t.name.lstrip("M")</w:t>
      </w:r>
    </w:p>
    <w:p>
      <w:pPr>
        <w:spacing w:line="240" w:lineRule="auto"/>
        <w:ind w:firstLine="0" w:left="283"/>
      </w:pPr>
      <w:r>
        <w:rPr>
          <w:rFonts w:ascii="Consolas" w:hAnsi="Consolas"/>
          <w:i/>
          <w:color w:val="555555"/>
          <w:sz w:val="18"/>
        </w:rPr>
        <w:t xml:space="preserve">        if t.is_nmos:</w:t>
      </w:r>
    </w:p>
    <w:p>
      <w:pPr>
        <w:spacing w:line="240" w:lineRule="auto"/>
        <w:ind w:firstLine="0" w:left="283"/>
      </w:pPr>
      <w:r>
        <w:rPr>
          <w:rFonts w:ascii="Consolas" w:hAnsi="Consolas"/>
          <w:i/>
          <w:color w:val="555555"/>
          <w:sz w:val="18"/>
        </w:rPr>
        <w:t xml:space="preserve">            length_nm = _length_to_nm(t.length_m)</w:t>
      </w:r>
    </w:p>
    <w:p>
      <w:pPr>
        <w:spacing w:line="240" w:lineRule="auto"/>
        <w:ind w:firstLine="0" w:left="283"/>
      </w:pPr>
      <w:r>
        <w:rPr>
          <w:rFonts w:ascii="Consolas" w:hAnsi="Consolas"/>
          <w:i/>
          <w:color w:val="555555"/>
          <w:sz w:val="18"/>
        </w:rPr>
        <w:t xml:space="preserve">            if length_nm &lt;= 0:</w:t>
      </w:r>
    </w:p>
    <w:p>
      <w:pPr>
        <w:spacing w:line="240" w:lineRule="auto"/>
        <w:ind w:firstLine="0" w:left="283"/>
      </w:pPr>
      <w:r>
        <w:rPr>
          <w:rFonts w:ascii="Consolas" w:hAnsi="Consolas"/>
          <w:i/>
          <w:color w:val="555555"/>
          <w:sz w:val="18"/>
        </w:rPr>
        <w:t xml:space="preserve">                continue</w:t>
      </w:r>
    </w:p>
    <w:p>
      <w:pPr>
        <w:spacing w:line="240" w:lineRule="auto"/>
        <w:ind w:firstLine="0" w:left="283"/>
      </w:pPr>
      <w:r>
        <w:rPr>
          <w:rFonts w:ascii="Consolas" w:hAnsi="Consolas"/>
          <w:i/>
          <w:color w:val="555555"/>
          <w:sz w:val="18"/>
        </w:rPr>
        <w:t xml:space="preserve">            lines += [</w:t>
      </w:r>
    </w:p>
    <w:p>
      <w:pPr>
        <w:spacing w:line="240" w:lineRule="auto"/>
        <w:ind w:firstLine="0" w:left="283"/>
      </w:pPr>
      <w:r>
        <w:rPr>
          <w:rFonts w:ascii="Consolas" w:hAnsi="Consolas"/>
          <w:i/>
          <w:color w:val="555555"/>
          <w:sz w:val="18"/>
        </w:rPr>
        <w:t xml:space="preserve">                f"B{num}Ib 0 N{num}Ib I=(1e-5)*Id({t.name})"</w:t>
      </w:r>
    </w:p>
    <w:p>
      <w:pPr>
        <w:spacing w:line="240" w:lineRule="auto"/>
        <w:ind w:firstLine="0" w:left="283"/>
      </w:pPr>
      <w:r>
        <w:rPr>
          <w:rFonts w:ascii="Consolas" w:hAnsi="Consolas"/>
          <w:i/>
          <w:color w:val="555555"/>
          <w:sz w:val="18"/>
        </w:rPr>
        <w:t xml:space="preserve">                f"*pwr((1/{length_nm}), 2.5)"</w:t>
      </w:r>
    </w:p>
    <w:p>
      <w:pPr>
        <w:spacing w:line="240" w:lineRule="auto"/>
        <w:ind w:firstLine="0" w:left="283"/>
      </w:pPr>
      <w:r>
        <w:rPr>
          <w:rFonts w:ascii="Consolas" w:hAnsi="Consolas"/>
          <w:i/>
          <w:color w:val="555555"/>
          <w:sz w:val="18"/>
        </w:rPr>
        <w:t xml:space="preserve">                f"*exp(5.7*(V({t.drain})-V({t.source})))"</w:t>
      </w:r>
    </w:p>
    <w:p>
      <w:pPr>
        <w:spacing w:line="240" w:lineRule="auto"/>
        <w:ind w:firstLine="0" w:left="283"/>
      </w:pPr>
      <w:r>
        <w:rPr>
          <w:rFonts w:ascii="Consolas" w:hAnsi="Consolas"/>
          <w:i/>
          <w:color w:val="555555"/>
          <w:sz w:val="18"/>
        </w:rPr>
        <w:t xml:space="preserve">                f"*exp(-1.21*(V({t.drain})-V({t.gate})))",</w:t>
      </w:r>
    </w:p>
    <w:p>
      <w:pPr>
        <w:spacing w:line="240" w:lineRule="auto"/>
        <w:ind w:firstLine="0" w:left="283"/>
      </w:pPr>
      <w:r>
        <w:rPr>
          <w:rFonts w:ascii="Consolas" w:hAnsi="Consolas"/>
          <w:i/>
          <w:color w:val="555555"/>
          <w:sz w:val="18"/>
        </w:rPr>
        <w:t xml:space="preserve">                f"R{num}Ib N{num}Ib 0 1",</w:t>
      </w:r>
    </w:p>
    <w:p>
      <w:pPr>
        <w:spacing w:line="240" w:lineRule="auto"/>
        <w:ind w:firstLine="0" w:left="283"/>
      </w:pPr>
      <w:r>
        <w:rPr>
          <w:rFonts w:ascii="Consolas" w:hAnsi="Consolas"/>
          <w:i/>
          <w:color w:val="555555"/>
          <w:sz w:val="18"/>
        </w:rPr>
        <w:t xml:space="preserve">                f".measure tran HCI_{t.name} integ I(B{num}Ib)",</w:t>
      </w:r>
    </w:p>
    <w:p>
      <w:pPr>
        <w:spacing w:line="240" w:lineRule="auto"/>
        <w:ind w:firstLine="0" w:left="283"/>
      </w:pPr>
      <w:r>
        <w:rPr>
          <w:rFonts w:ascii="Consolas" w:hAnsi="Consolas"/>
          <w:i/>
          <w:color w:val="555555"/>
          <w:sz w:val="18"/>
        </w:rPr>
        <w:t xml:space="preserve">                f".measure tran maxHCI_{t.name} max I(B{num}Ib)",</w:t>
      </w:r>
    </w:p>
    <w:p>
      <w:pPr>
        <w:spacing w:line="240" w:lineRule="auto"/>
        <w:ind w:firstLine="0" w:left="283"/>
      </w:pPr>
      <w:r>
        <w:rPr>
          <w:rFonts w:ascii="Consolas" w:hAnsi="Consolas"/>
          <w:i/>
          <w:color w:val="555555"/>
          <w:sz w:val="18"/>
        </w:rPr>
        <w:t xml:space="preserve">                f".measure tran maxId_{t.name} max Id({t.name})",</w:t>
      </w:r>
    </w:p>
    <w:p>
      <w:pPr>
        <w:spacing w:line="240" w:lineRule="auto"/>
        <w:ind w:firstLine="0" w:left="283"/>
      </w:pPr>
      <w:r>
        <w:rPr>
          <w:rFonts w:ascii="Consolas" w:hAnsi="Consolas"/>
          <w:i/>
          <w:color w:val="555555"/>
          <w:sz w:val="18"/>
        </w:rPr>
        <w:t xml:space="preserve">            ]</w:t>
      </w:r>
    </w:p>
    <w:p>
      <w:pPr>
        <w:spacing w:line="240" w:lineRule="auto"/>
        <w:ind w:firstLine="0" w:left="283"/>
      </w:pPr>
      <w:r>
        <w:rPr>
          <w:rFonts w:ascii="Consolas" w:hAnsi="Consolas"/>
          <w:i/>
          <w:color w:val="555555"/>
          <w:sz w:val="18"/>
        </w:rPr>
        <w:t xml:space="preserve">        elif t.is_pmos:</w:t>
      </w:r>
    </w:p>
    <w:p>
      <w:pPr>
        <w:spacing w:line="240" w:lineRule="auto"/>
        <w:ind w:firstLine="0" w:left="283"/>
      </w:pPr>
      <w:r>
        <w:rPr>
          <w:rFonts w:ascii="Consolas" w:hAnsi="Consolas"/>
          <w:i/>
          <w:color w:val="555555"/>
          <w:sz w:val="18"/>
        </w:rPr>
        <w:t xml:space="preserve">            lines += [</w:t>
      </w:r>
    </w:p>
    <w:p>
      <w:pPr>
        <w:spacing w:line="240" w:lineRule="auto"/>
        <w:ind w:firstLine="0" w:left="283"/>
      </w:pPr>
      <w:r>
        <w:rPr>
          <w:rFonts w:ascii="Consolas" w:hAnsi="Consolas"/>
          <w:i/>
          <w:color w:val="555555"/>
          <w:sz w:val="18"/>
        </w:rPr>
        <w:t xml:space="preserve">                f".measure tran maxNBTI{t.name} max "</w:t>
      </w:r>
    </w:p>
    <w:p>
      <w:pPr>
        <w:spacing w:line="240" w:lineRule="auto"/>
        <w:ind w:firstLine="0" w:left="283"/>
      </w:pPr>
      <w:r>
        <w:rPr>
          <w:rFonts w:ascii="Consolas" w:hAnsi="Consolas"/>
          <w:i/>
          <w:color w:val="555555"/>
          <w:sz w:val="18"/>
        </w:rPr>
        <w:t xml:space="preserve">                f"((V({t.source})-V({t.gate}))*(V({t.drain})-V({t.gate})))",</w:t>
      </w:r>
    </w:p>
    <w:p>
      <w:pPr>
        <w:spacing w:line="240" w:lineRule="auto"/>
        <w:ind w:firstLine="0" w:left="283"/>
      </w:pPr>
      <w:r>
        <w:rPr>
          <w:rFonts w:ascii="Consolas" w:hAnsi="Consolas"/>
          <w:i/>
          <w:color w:val="555555"/>
          <w:sz w:val="18"/>
        </w:rPr>
        <w:t xml:space="preserve">                f".measure tran NBTI{t.name} integ ABS(V({t.source})-V({t.gate}))",</w:t>
      </w:r>
    </w:p>
    <w:p>
      <w:pPr>
        <w:spacing w:line="240" w:lineRule="auto"/>
        <w:ind w:firstLine="0" w:left="283"/>
      </w:pPr>
      <w:r>
        <w:rPr>
          <w:rFonts w:ascii="Consolas" w:hAnsi="Consolas"/>
          <w:i/>
          <w:color w:val="555555"/>
          <w:sz w:val="18"/>
        </w:rPr>
        <w:t xml:space="preserve">            ]</w:t>
      </w:r>
    </w:p>
    <w:p>
      <w:pPr>
        <w:spacing w:line="240" w:lineRule="auto"/>
        <w:ind w:firstLine="0" w:left="283"/>
      </w:pPr>
      <w:r>
        <w:rPr>
          <w:rFonts w:ascii="Consolas" w:hAnsi="Consolas"/>
          <w:i/>
          <w:color w:val="555555"/>
          <w:sz w:val="18"/>
        </w:rPr>
        <w:t xml:space="preserve">    return lines</w:t>
      </w:r>
    </w:p>
    <w:p>
      <w:pPr>
        <w:spacing w:after="240"/>
        <w:ind w:firstLine="0"/>
        <w:jc w:val="center"/>
      </w:pPr>
      <w:r>
        <w:t>Рисунок 5 – Функция формирования SPICE-директив для измерения характеристик транзисторов</w:t>
      </w:r>
    </w:p>
    <w:p>
      <w:pPr>
        <w:pStyle w:val="Heading3"/>
        <w:ind w:firstLine="0"/>
      </w:pPr>
      <w:r>
        <w:t>2.4.3 Пример результатов анализа режимов</w:t>
      </w:r>
    </w:p>
    <w:p>
      <w:r>
        <w:rPr>
          <w:b w:val="0"/>
          <w:i w:val="0"/>
        </w:rPr>
        <w:t>Для иллюстрации работы модуля анализа режимов выбран фрагмент типовой ячейки статической памяти SRAM с проектной нормой 32 нм, содержащий шесть транзисторов: четыре NMOS-транзистора (M1, M2, M5, M6) и два PMOS-транзистора (M3, M4). Длительность транзиентного моделирования составила 5 нс, напряжение питания – 1,5 В, температура – 27 °C, заданный пользователем срок службы – 10 лет. Сформированный программой include-файл содержит двадцать четыре SPICE-директивы (по пять для каждого NMOS и по две для каждого PMOS, плюс описания B-источников и резисторов). Полное содержимое сгенерированного include-файла приведено в приложении А. После выполнения транзиентного расчета в LTspice и обработки полученного Spice Error Log получены результаты, приведенные в таблице 1.</w:t>
      </w:r>
    </w:p>
    <w:p>
      <w:pPr>
        <w:spacing w:before="120"/>
        <w:ind w:firstLine="0"/>
        <w:jc w:val="left"/>
      </w:pPr>
      <w:r>
        <w:t>Таблица 1 – Результаты анализа режимов работы транзисторов SRAM-ячейки 32 нм (Vdd = 1,5 В, T = 27 °C, t_sim = 5 нс, срок службы 10 лет)</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Транзистор</w:t>
            </w:r>
          </w:p>
        </w:tc>
        <w:tc>
          <w:tcPr>
            <w:tcW w:type="dxa" w:w="1559"/>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Тип / режим</w:t>
            </w:r>
          </w:p>
        </w:tc>
        <w:tc>
          <w:tcPr>
            <w:tcW w:type="dxa" w:w="1559"/>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Время в режиме</w:t>
            </w:r>
          </w:p>
        </w:tc>
        <w:tc>
          <w:tcPr>
            <w:tcW w:type="dxa" w:w="1559"/>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Доля от t_sim</w:t>
            </w:r>
          </w:p>
        </w:tc>
        <w:tc>
          <w:tcPr>
            <w:tcW w:type="dxa" w:w="1559"/>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ΔVth</w:t>
            </w:r>
          </w:p>
        </w:tc>
        <w:tc>
          <w:tcPr>
            <w:tcW w:type="dxa" w:w="1559"/>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Степень</w:t>
            </w:r>
          </w:p>
        </w:tc>
      </w:tr>
      <w:tr>
        <w:tc>
          <w:tcPr>
            <w:tcW w:type="dxa" w:w="1559"/>
            <w:tcBorders>
              <w:top w:val="single" w:sz="4" w:color="000000"/>
              <w:left w:val="single" w:sz="4" w:color="000000"/>
              <w:bottom w:val="single" w:sz="4" w:color="000000"/>
              <w:right w:val="single" w:sz="4" w:color="000000"/>
            </w:tcBorders>
          </w:tcPr>
          <w:p>
            <w:pPr>
              <w:ind w:firstLine="0"/>
              <w:jc w:val="center"/>
            </w:pPr>
            <w:r/>
            <w:r>
              <w:rPr>
                <w:sz w:val="22"/>
              </w:rPr>
              <w:t>M1</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NMOS / HCI</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2,53 пс</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5,05·10⁻⁴</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116,7 мВ</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Высокая</w:t>
            </w:r>
          </w:p>
        </w:tc>
      </w:tr>
      <w:tr>
        <w:tc>
          <w:tcPr>
            <w:tcW w:type="dxa" w:w="1559"/>
            <w:tcBorders>
              <w:top w:val="single" w:sz="4" w:color="000000"/>
              <w:left w:val="single" w:sz="4" w:color="000000"/>
              <w:bottom w:val="single" w:sz="4" w:color="000000"/>
              <w:right w:val="single" w:sz="4" w:color="000000"/>
            </w:tcBorders>
          </w:tcPr>
          <w:p>
            <w:pPr>
              <w:ind w:firstLine="0"/>
              <w:jc w:val="center"/>
            </w:pPr>
            <w:r/>
            <w:r>
              <w:rPr>
                <w:sz w:val="22"/>
              </w:rPr>
              <w:t>M2</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NMOS / HCI</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8,89 пс</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1,78·10⁻³</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68,9 мВ</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Высокая</w:t>
            </w:r>
          </w:p>
        </w:tc>
      </w:tr>
      <w:tr>
        <w:tc>
          <w:tcPr>
            <w:tcW w:type="dxa" w:w="1559"/>
            <w:tcBorders>
              <w:top w:val="single" w:sz="4" w:color="000000"/>
              <w:left w:val="single" w:sz="4" w:color="000000"/>
              <w:bottom w:val="single" w:sz="4" w:color="000000"/>
              <w:right w:val="single" w:sz="4" w:color="000000"/>
            </w:tcBorders>
          </w:tcPr>
          <w:p>
            <w:pPr>
              <w:ind w:firstLine="0"/>
              <w:jc w:val="center"/>
            </w:pPr>
            <w:r/>
            <w:r>
              <w:rPr>
                <w:sz w:val="22"/>
              </w:rPr>
              <w:t>M5</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NMOS / HCI</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1,45 пс</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2,91·10⁻⁴</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1,60 мВ</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Низкая</w:t>
            </w:r>
          </w:p>
        </w:tc>
      </w:tr>
      <w:tr>
        <w:tc>
          <w:tcPr>
            <w:tcW w:type="dxa" w:w="1559"/>
            <w:tcBorders>
              <w:top w:val="single" w:sz="4" w:color="000000"/>
              <w:left w:val="single" w:sz="4" w:color="000000"/>
              <w:bottom w:val="single" w:sz="4" w:color="000000"/>
              <w:right w:val="single" w:sz="4" w:color="000000"/>
            </w:tcBorders>
          </w:tcPr>
          <w:p>
            <w:pPr>
              <w:ind w:firstLine="0"/>
              <w:jc w:val="center"/>
            </w:pPr>
            <w:r/>
            <w:r>
              <w:rPr>
                <w:sz w:val="22"/>
              </w:rPr>
              <w:t>M6</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NMOS / HCI</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1,49 пс</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2,98·10⁻⁴</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70,0 мВ</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Высокая</w:t>
            </w:r>
          </w:p>
        </w:tc>
      </w:tr>
      <w:tr>
        <w:tc>
          <w:tcPr>
            <w:tcW w:type="dxa" w:w="1559"/>
            <w:tcBorders>
              <w:top w:val="single" w:sz="4" w:color="000000"/>
              <w:left w:val="single" w:sz="4" w:color="000000"/>
              <w:bottom w:val="single" w:sz="4" w:color="000000"/>
              <w:right w:val="single" w:sz="4" w:color="000000"/>
            </w:tcBorders>
          </w:tcPr>
          <w:p>
            <w:pPr>
              <w:ind w:firstLine="0"/>
              <w:jc w:val="center"/>
            </w:pPr>
            <w:r/>
            <w:r>
              <w:rPr>
                <w:sz w:val="22"/>
              </w:rPr>
              <w:t>M3</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PMOS / NBTI</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267 пс</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0,054</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49,3 мВ</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Высокая</w:t>
            </w:r>
          </w:p>
        </w:tc>
      </w:tr>
      <w:tr>
        <w:tc>
          <w:tcPr>
            <w:tcW w:type="dxa" w:w="1559"/>
            <w:tcBorders>
              <w:top w:val="single" w:sz="4" w:color="000000"/>
              <w:left w:val="single" w:sz="4" w:color="000000"/>
              <w:bottom w:val="single" w:sz="4" w:color="000000"/>
              <w:right w:val="single" w:sz="4" w:color="000000"/>
            </w:tcBorders>
          </w:tcPr>
          <w:p>
            <w:pPr>
              <w:ind w:firstLine="0"/>
              <w:jc w:val="center"/>
            </w:pPr>
            <w:r/>
            <w:r>
              <w:rPr>
                <w:sz w:val="22"/>
              </w:rPr>
              <w:t>M4</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PMOS / NBTI</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3,06 нс</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0,611</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72,6 мВ</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Высокая</w:t>
            </w:r>
          </w:p>
        </w:tc>
      </w:tr>
    </w:tbl>
    <w:p>
      <w:pPr>
        <w:spacing w:after="120"/>
      </w:pPr>
    </w:p>
    <w:p>
      <w:r>
        <w:rPr>
          <w:b w:val="0"/>
          <w:i w:val="0"/>
        </w:rPr>
        <w:t>Полученные результаты согласуются с представлением о работе ячейки SRAM. Транзистор M4, удерживающий узел в состоянии логической единицы, проводит более 60 % времени симуляции в режиме NBTI; ключевые транзисторы M1, M2 и M6 переключаются в течение коротких интервалов и подвергаются интенсивной деградации по механизму HCI. Отнесение M5 к категории низкой деградации связано с конфигурацией транзистора в схеме – за время симуляции M5 почти не переходил в активный режим. Подробный анализ полученных значений ΔVth и сопоставление с литературными данными приведены в разделе 3.</w:t>
      </w:r>
    </w:p>
    <w:p>
      <w:pPr>
        <w:pStyle w:val="Heading2"/>
        <w:ind w:firstLine="0"/>
      </w:pPr>
      <w:r>
        <w:t>2.5 Разработка модуля учета деградации параметров</w:t>
      </w:r>
    </w:p>
    <w:p>
      <w:r>
        <w:rPr>
          <w:b w:val="0"/>
          <w:i w:val="0"/>
        </w:rPr>
        <w:t>Модуль учета деградации параметров реализован в файле core/aging.py и отвечает за центральную задачу инструмента – вычисление по физическим моделям сдвига порогового напряжения и снижения подвижности носителей для каждого транзистора по результатам, извлеченным из .log-файла LTspice. На вход модулю поступают список выбранных транзисторов с их геометрическими параметрами и узлами, измерения из .log-файла, а также введенные пользователем срок службы схемы (в годах) и модуль порогового напряжения PMOS-моделей. На выходе модуль формирует таблицу результатов по каждому транзистору (ΔVth, factor_u0, категория деградации), используемую на следующем этапе для записи постаревшего netlist.</w:t>
      </w:r>
    </w:p>
    <w:p>
      <w:pPr>
        <w:pStyle w:val="Heading3"/>
        <w:ind w:firstLine="0"/>
      </w:pPr>
      <w:r>
        <w:t>2.5.1 Физические константы</w:t>
      </w:r>
    </w:p>
    <w:p>
      <w:r>
        <w:rPr>
          <w:b w:val="0"/>
          <w:i w:val="0"/>
        </w:rPr>
        <w:t>В модуле определены физические константы, используемые в расчетных формулах:</w:t>
      </w:r>
    </w:p>
    <w:p>
      <w:pPr>
        <w:spacing w:before="120"/>
        <w:ind w:firstLine="0"/>
        <w:jc w:val="left"/>
      </w:pPr>
      <w:r>
        <w:t>Таблица 2 – Физические константы модели деградации</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984"/>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Обозначение</w:t>
            </w:r>
          </w:p>
        </w:tc>
        <w:tc>
          <w:tcPr>
            <w:tcW w:type="dxa" w:w="2268"/>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Значение</w:t>
            </w:r>
          </w:p>
        </w:tc>
        <w:tc>
          <w:tcPr>
            <w:tcW w:type="dxa" w:w="1417"/>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Единица</w:t>
            </w:r>
          </w:p>
        </w:tc>
        <w:tc>
          <w:tcPr>
            <w:tcW w:type="dxa" w:w="3685"/>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Смысл</w:t>
            </w:r>
          </w:p>
        </w:tc>
      </w:tr>
      <w:tr>
        <w:tc>
          <w:tcPr>
            <w:tcW w:type="dxa" w:w="1984"/>
            <w:tcBorders>
              <w:top w:val="single" w:sz="4" w:color="000000"/>
              <w:left w:val="single" w:sz="4" w:color="000000"/>
              <w:bottom w:val="single" w:sz="4" w:color="000000"/>
              <w:right w:val="single" w:sz="4" w:color="000000"/>
            </w:tcBorders>
          </w:tcPr>
          <w:p>
            <w:pPr>
              <w:ind w:firstLine="0"/>
              <w:jc w:val="center"/>
            </w:pPr>
            <w:r/>
            <w:r>
              <w:rPr>
                <w:sz w:val="22"/>
              </w:rPr>
              <w:t>k_B</w:t>
            </w:r>
          </w:p>
        </w:tc>
        <w:tc>
          <w:tcPr>
            <w:tcW w:type="dxa" w:w="2268"/>
            <w:tcBorders>
              <w:top w:val="single" w:sz="4" w:color="000000"/>
              <w:left w:val="single" w:sz="4" w:color="000000"/>
              <w:bottom w:val="single" w:sz="4" w:color="000000"/>
              <w:right w:val="single" w:sz="4" w:color="000000"/>
            </w:tcBorders>
          </w:tcPr>
          <w:p>
            <w:pPr>
              <w:ind w:firstLine="0"/>
              <w:jc w:val="center"/>
            </w:pPr>
            <w:r/>
            <w:r>
              <w:rPr>
                <w:sz w:val="22"/>
              </w:rPr>
              <w:t>1,380649·10⁻²³</w:t>
            </w:r>
          </w:p>
        </w:tc>
        <w:tc>
          <w:tcPr>
            <w:tcW w:type="dxa" w:w="1417"/>
            <w:tcBorders>
              <w:top w:val="single" w:sz="4" w:color="000000"/>
              <w:left w:val="single" w:sz="4" w:color="000000"/>
              <w:bottom w:val="single" w:sz="4" w:color="000000"/>
              <w:right w:val="single" w:sz="4" w:color="000000"/>
            </w:tcBorders>
          </w:tcPr>
          <w:p>
            <w:pPr>
              <w:ind w:firstLine="0"/>
              <w:jc w:val="center"/>
            </w:pPr>
            <w:r/>
            <w:r>
              <w:rPr>
                <w:sz w:val="22"/>
              </w:rPr>
              <w:t>Дж/К</w:t>
            </w:r>
          </w:p>
        </w:tc>
        <w:tc>
          <w:tcPr>
            <w:tcW w:type="dxa" w:w="3685"/>
            <w:tcBorders>
              <w:top w:val="single" w:sz="4" w:color="000000"/>
              <w:left w:val="single" w:sz="4" w:color="000000"/>
              <w:bottom w:val="single" w:sz="4" w:color="000000"/>
              <w:right w:val="single" w:sz="4" w:color="000000"/>
            </w:tcBorders>
          </w:tcPr>
          <w:p>
            <w:pPr>
              <w:ind w:firstLine="0"/>
              <w:jc w:val="center"/>
            </w:pPr>
            <w:r/>
            <w:r>
              <w:rPr>
                <w:sz w:val="22"/>
              </w:rPr>
              <w:t>Постоянная Больцмана</w:t>
            </w:r>
          </w:p>
        </w:tc>
      </w:tr>
      <w:tr>
        <w:tc>
          <w:tcPr>
            <w:tcW w:type="dxa" w:w="1984"/>
            <w:tcBorders>
              <w:top w:val="single" w:sz="4" w:color="000000"/>
              <w:left w:val="single" w:sz="4" w:color="000000"/>
              <w:bottom w:val="single" w:sz="4" w:color="000000"/>
              <w:right w:val="single" w:sz="4" w:color="000000"/>
            </w:tcBorders>
          </w:tcPr>
          <w:p>
            <w:pPr>
              <w:ind w:firstLine="0"/>
              <w:jc w:val="center"/>
            </w:pPr>
            <w:r/>
            <w:r>
              <w:rPr>
                <w:sz w:val="22"/>
              </w:rPr>
              <w:t>q</w:t>
            </w:r>
          </w:p>
        </w:tc>
        <w:tc>
          <w:tcPr>
            <w:tcW w:type="dxa" w:w="2268"/>
            <w:tcBorders>
              <w:top w:val="single" w:sz="4" w:color="000000"/>
              <w:left w:val="single" w:sz="4" w:color="000000"/>
              <w:bottom w:val="single" w:sz="4" w:color="000000"/>
              <w:right w:val="single" w:sz="4" w:color="000000"/>
            </w:tcBorders>
          </w:tcPr>
          <w:p>
            <w:pPr>
              <w:ind w:firstLine="0"/>
              <w:jc w:val="center"/>
            </w:pPr>
            <w:r/>
            <w:r>
              <w:rPr>
                <w:sz w:val="22"/>
              </w:rPr>
              <w:t>1,60219·10⁻¹⁹</w:t>
            </w:r>
          </w:p>
        </w:tc>
        <w:tc>
          <w:tcPr>
            <w:tcW w:type="dxa" w:w="1417"/>
            <w:tcBorders>
              <w:top w:val="single" w:sz="4" w:color="000000"/>
              <w:left w:val="single" w:sz="4" w:color="000000"/>
              <w:bottom w:val="single" w:sz="4" w:color="000000"/>
              <w:right w:val="single" w:sz="4" w:color="000000"/>
            </w:tcBorders>
          </w:tcPr>
          <w:p>
            <w:pPr>
              <w:ind w:firstLine="0"/>
              <w:jc w:val="center"/>
            </w:pPr>
            <w:r/>
            <w:r>
              <w:rPr>
                <w:sz w:val="22"/>
              </w:rPr>
              <w:t>Кл</w:t>
            </w:r>
          </w:p>
        </w:tc>
        <w:tc>
          <w:tcPr>
            <w:tcW w:type="dxa" w:w="3685"/>
            <w:tcBorders>
              <w:top w:val="single" w:sz="4" w:color="000000"/>
              <w:left w:val="single" w:sz="4" w:color="000000"/>
              <w:bottom w:val="single" w:sz="4" w:color="000000"/>
              <w:right w:val="single" w:sz="4" w:color="000000"/>
            </w:tcBorders>
          </w:tcPr>
          <w:p>
            <w:pPr>
              <w:ind w:firstLine="0"/>
              <w:jc w:val="center"/>
            </w:pPr>
            <w:r/>
            <w:r>
              <w:rPr>
                <w:sz w:val="22"/>
              </w:rPr>
              <w:t>Заряд электрона</w:t>
            </w:r>
          </w:p>
        </w:tc>
      </w:tr>
      <w:tr>
        <w:tc>
          <w:tcPr>
            <w:tcW w:type="dxa" w:w="1984"/>
            <w:tcBorders>
              <w:top w:val="single" w:sz="4" w:color="000000"/>
              <w:left w:val="single" w:sz="4" w:color="000000"/>
              <w:bottom w:val="single" w:sz="4" w:color="000000"/>
              <w:right w:val="single" w:sz="4" w:color="000000"/>
            </w:tcBorders>
          </w:tcPr>
          <w:p>
            <w:pPr>
              <w:ind w:firstLine="0"/>
              <w:jc w:val="center"/>
            </w:pPr>
            <w:r/>
            <w:r>
              <w:rPr>
                <w:sz w:val="22"/>
              </w:rPr>
              <w:t>ε₀</w:t>
            </w:r>
          </w:p>
        </w:tc>
        <w:tc>
          <w:tcPr>
            <w:tcW w:type="dxa" w:w="2268"/>
            <w:tcBorders>
              <w:top w:val="single" w:sz="4" w:color="000000"/>
              <w:left w:val="single" w:sz="4" w:color="000000"/>
              <w:bottom w:val="single" w:sz="4" w:color="000000"/>
              <w:right w:val="single" w:sz="4" w:color="000000"/>
            </w:tcBorders>
          </w:tcPr>
          <w:p>
            <w:pPr>
              <w:ind w:firstLine="0"/>
              <w:jc w:val="center"/>
            </w:pPr>
            <w:r/>
            <w:r>
              <w:rPr>
                <w:sz w:val="22"/>
              </w:rPr>
              <w:t>8,85·10⁻¹²</w:t>
            </w:r>
          </w:p>
        </w:tc>
        <w:tc>
          <w:tcPr>
            <w:tcW w:type="dxa" w:w="1417"/>
            <w:tcBorders>
              <w:top w:val="single" w:sz="4" w:color="000000"/>
              <w:left w:val="single" w:sz="4" w:color="000000"/>
              <w:bottom w:val="single" w:sz="4" w:color="000000"/>
              <w:right w:val="single" w:sz="4" w:color="000000"/>
            </w:tcBorders>
          </w:tcPr>
          <w:p>
            <w:pPr>
              <w:ind w:firstLine="0"/>
              <w:jc w:val="center"/>
            </w:pPr>
            <w:r/>
            <w:r>
              <w:rPr>
                <w:sz w:val="22"/>
              </w:rPr>
              <w:t>Ф/м</w:t>
            </w:r>
          </w:p>
        </w:tc>
        <w:tc>
          <w:tcPr>
            <w:tcW w:type="dxa" w:w="3685"/>
            <w:tcBorders>
              <w:top w:val="single" w:sz="4" w:color="000000"/>
              <w:left w:val="single" w:sz="4" w:color="000000"/>
              <w:bottom w:val="single" w:sz="4" w:color="000000"/>
              <w:right w:val="single" w:sz="4" w:color="000000"/>
            </w:tcBorders>
          </w:tcPr>
          <w:p>
            <w:pPr>
              <w:ind w:firstLine="0"/>
              <w:jc w:val="center"/>
            </w:pPr>
            <w:r/>
            <w:r>
              <w:rPr>
                <w:sz w:val="22"/>
              </w:rPr>
              <w:t>Диэлектрическая проницаемость вакуума</w:t>
            </w:r>
          </w:p>
        </w:tc>
      </w:tr>
      <w:tr>
        <w:tc>
          <w:tcPr>
            <w:tcW w:type="dxa" w:w="1984"/>
            <w:tcBorders>
              <w:top w:val="single" w:sz="4" w:color="000000"/>
              <w:left w:val="single" w:sz="4" w:color="000000"/>
              <w:bottom w:val="single" w:sz="4" w:color="000000"/>
              <w:right w:val="single" w:sz="4" w:color="000000"/>
            </w:tcBorders>
          </w:tcPr>
          <w:p>
            <w:pPr>
              <w:ind w:firstLine="0"/>
              <w:jc w:val="center"/>
            </w:pPr>
            <w:r/>
            <w:r>
              <w:rPr>
                <w:sz w:val="22"/>
              </w:rPr>
              <w:t>ε_SiO₂</w:t>
            </w:r>
          </w:p>
        </w:tc>
        <w:tc>
          <w:tcPr>
            <w:tcW w:type="dxa" w:w="2268"/>
            <w:tcBorders>
              <w:top w:val="single" w:sz="4" w:color="000000"/>
              <w:left w:val="single" w:sz="4" w:color="000000"/>
              <w:bottom w:val="single" w:sz="4" w:color="000000"/>
              <w:right w:val="single" w:sz="4" w:color="000000"/>
            </w:tcBorders>
          </w:tcPr>
          <w:p>
            <w:pPr>
              <w:ind w:firstLine="0"/>
              <w:jc w:val="center"/>
            </w:pPr>
            <w:r/>
            <w:r>
              <w:rPr>
                <w:sz w:val="22"/>
              </w:rPr>
              <w:t>3,9</w:t>
            </w:r>
          </w:p>
        </w:tc>
        <w:tc>
          <w:tcPr>
            <w:tcW w:type="dxa" w:w="1417"/>
            <w:tcBorders>
              <w:top w:val="single" w:sz="4" w:color="000000"/>
              <w:left w:val="single" w:sz="4" w:color="000000"/>
              <w:bottom w:val="single" w:sz="4" w:color="000000"/>
              <w:right w:val="single" w:sz="4" w:color="000000"/>
            </w:tcBorders>
          </w:tcPr>
          <w:p>
            <w:pPr>
              <w:ind w:firstLine="0"/>
              <w:jc w:val="center"/>
            </w:pPr>
            <w:r/>
            <w:r>
              <w:rPr>
                <w:sz w:val="22"/>
              </w:rPr>
              <w:t>—</w:t>
            </w:r>
          </w:p>
        </w:tc>
        <w:tc>
          <w:tcPr>
            <w:tcW w:type="dxa" w:w="3685"/>
            <w:tcBorders>
              <w:top w:val="single" w:sz="4" w:color="000000"/>
              <w:left w:val="single" w:sz="4" w:color="000000"/>
              <w:bottom w:val="single" w:sz="4" w:color="000000"/>
              <w:right w:val="single" w:sz="4" w:color="000000"/>
            </w:tcBorders>
          </w:tcPr>
          <w:p>
            <w:pPr>
              <w:ind w:firstLine="0"/>
              <w:jc w:val="center"/>
            </w:pPr>
            <w:r/>
            <w:r>
              <w:rPr>
                <w:sz w:val="22"/>
              </w:rPr>
              <w:t>Относительная проницаемость SiO₂</w:t>
            </w:r>
          </w:p>
        </w:tc>
      </w:tr>
      <w:tr>
        <w:tc>
          <w:tcPr>
            <w:tcW w:type="dxa" w:w="1984"/>
            <w:tcBorders>
              <w:top w:val="single" w:sz="4" w:color="000000"/>
              <w:left w:val="single" w:sz="4" w:color="000000"/>
              <w:bottom w:val="single" w:sz="4" w:color="000000"/>
              <w:right w:val="single" w:sz="4" w:color="000000"/>
            </w:tcBorders>
          </w:tcPr>
          <w:p>
            <w:pPr>
              <w:ind w:firstLine="0"/>
              <w:jc w:val="center"/>
            </w:pPr>
            <w:r/>
            <w:r>
              <w:rPr>
                <w:sz w:val="22"/>
              </w:rPr>
              <w:t>t_year</w:t>
            </w:r>
          </w:p>
        </w:tc>
        <w:tc>
          <w:tcPr>
            <w:tcW w:type="dxa" w:w="2268"/>
            <w:tcBorders>
              <w:top w:val="single" w:sz="4" w:color="000000"/>
              <w:left w:val="single" w:sz="4" w:color="000000"/>
              <w:bottom w:val="single" w:sz="4" w:color="000000"/>
              <w:right w:val="single" w:sz="4" w:color="000000"/>
            </w:tcBorders>
          </w:tcPr>
          <w:p>
            <w:pPr>
              <w:ind w:firstLine="0"/>
              <w:jc w:val="center"/>
            </w:pPr>
            <w:r/>
            <w:r>
              <w:rPr>
                <w:sz w:val="22"/>
              </w:rPr>
              <w:t>31 536 000</w:t>
            </w:r>
          </w:p>
        </w:tc>
        <w:tc>
          <w:tcPr>
            <w:tcW w:type="dxa" w:w="1417"/>
            <w:tcBorders>
              <w:top w:val="single" w:sz="4" w:color="000000"/>
              <w:left w:val="single" w:sz="4" w:color="000000"/>
              <w:bottom w:val="single" w:sz="4" w:color="000000"/>
              <w:right w:val="single" w:sz="4" w:color="000000"/>
            </w:tcBorders>
          </w:tcPr>
          <w:p>
            <w:pPr>
              <w:ind w:firstLine="0"/>
              <w:jc w:val="center"/>
            </w:pPr>
            <w:r/>
            <w:r>
              <w:rPr>
                <w:sz w:val="22"/>
              </w:rPr>
              <w:t>с</w:t>
            </w:r>
          </w:p>
        </w:tc>
        <w:tc>
          <w:tcPr>
            <w:tcW w:type="dxa" w:w="3685"/>
            <w:tcBorders>
              <w:top w:val="single" w:sz="4" w:color="000000"/>
              <w:left w:val="single" w:sz="4" w:color="000000"/>
              <w:bottom w:val="single" w:sz="4" w:color="000000"/>
              <w:right w:val="single" w:sz="4" w:color="000000"/>
            </w:tcBorders>
          </w:tcPr>
          <w:p>
            <w:pPr>
              <w:ind w:firstLine="0"/>
              <w:jc w:val="center"/>
            </w:pPr>
            <w:r/>
            <w:r>
              <w:rPr>
                <w:sz w:val="22"/>
              </w:rPr>
              <w:t>Секунд в году</w:t>
            </w:r>
          </w:p>
        </w:tc>
      </w:tr>
    </w:tbl>
    <w:p>
      <w:pPr>
        <w:spacing w:after="120"/>
      </w:pPr>
    </w:p>
    <w:p>
      <w:r>
        <w:rPr>
          <w:b w:val="0"/>
          <w:i w:val="0"/>
        </w:rPr>
        <w:t>Производные величины: ε_ox = ε_SiO₂ · ε₀ ≈ 3,45·10⁻¹¹ Ф/м – диэлектрическая проницаемость подзатворного оксида; Cox = ε_ox / tox – удельная емкость подзатворного оксида (Ф/м²), вычисляемая для каждой модели исходя из извлеченного из .model-блока значения tox.</w:t>
      </w:r>
    </w:p>
    <w:p>
      <w:pPr>
        <w:pStyle w:val="Heading3"/>
        <w:ind w:firstLine="0"/>
      </w:pPr>
      <w:r>
        <w:t>2.5.2 Модель HCI для NMOS-транзисторов</w:t>
      </w:r>
    </w:p>
    <w:p>
      <w:r>
        <w:rPr>
          <w:b w:val="0"/>
          <w:i w:val="0"/>
        </w:rPr>
        <w:t>Физическая природа эффекта горячих носителей состоит в том, что при высоких электрических полях вблизи стока электроны набирают энергию, достаточную для преодоления барьера Si/SiO₂, и захватываются в оксел затвора. Это приводит к сдвигу порогового напряжения vth вверх и снижению подвижности u0 [4].</w:t>
      </w:r>
    </w:p>
    <w:p>
      <w:r>
        <w:rPr>
          <w:b w:val="0"/>
          <w:i w:val="0"/>
        </w:rPr>
        <w:t>После симуляции LTspice из .log-файла извлекаются три величины: интеграл тока горячих носителей integ_val, его максимум max_hci и максимум тока стока max_id. Эффективное время работы в режиме HCI рассчитывается по формуле:</w:t>
      </w:r>
    </w:p>
    <w:p>
      <w:pPr>
        <w:spacing w:before="120" w:after="120"/>
        <w:ind w:firstLine="0"/>
        <w:jc w:val="center"/>
      </w:pPr>
      <w:r>
        <w:rPr>
          <w:rFonts w:ascii="Cambria Math" w:hAnsi="Cambria Math"/>
          <w:i/>
        </w:rPr>
        <w:t xml:space="preserve">t_hci = |integ_val / (max_hci · 0,75)|   </w:t>
      </w:r>
      <w:r>
        <w:t>(2)</w:t>
      </w:r>
    </w:p>
    <w:p>
      <w:r>
        <w:rPr>
          <w:b w:val="0"/>
          <w:i w:val="0"/>
        </w:rPr>
        <w:t>Коэффициент 0,75 учитывает неидеальность прямоугольника тока переключения. Доля «вредного» времени относительно полного времени симуляции:</w:t>
      </w:r>
    </w:p>
    <w:p>
      <w:pPr>
        <w:spacing w:before="120" w:after="120"/>
        <w:ind w:firstLine="0"/>
        <w:jc w:val="center"/>
      </w:pPr>
      <w:r>
        <w:rPr>
          <w:rFonts w:ascii="Cambria Math" w:hAnsi="Cambria Math"/>
          <w:i/>
        </w:rPr>
        <w:t xml:space="preserve">ratio_hci = |integ_val / (max_hci · 0,75 · t_sim)|   </w:t>
      </w:r>
      <w:r>
        <w:t>(3)</w:t>
      </w:r>
    </w:p>
    <w:p>
      <w:r>
        <w:rPr>
          <w:b w:val="0"/>
          <w:i w:val="0"/>
        </w:rPr>
        <w:t>Сдвиг порогового напряжения вычисляется по эмпирической степенной формуле:</w:t>
      </w:r>
    </w:p>
    <w:p>
      <w:pPr>
        <w:spacing w:before="120" w:after="120"/>
        <w:ind w:firstLine="0"/>
        <w:jc w:val="center"/>
      </w:pPr>
      <w:r>
        <w:rPr>
          <w:rFonts w:ascii="Cambria Math" w:hAnsi="Cambria Math"/>
          <w:i/>
        </w:rPr>
        <w:t xml:space="preserve">ΔVth_HCI = 1,3 · 0,22 · |I_d_max/W · (max_hci/I_d_max)² · t_life · ratio_hci|^0,27   </w:t>
      </w:r>
      <w:r>
        <w:t>(4)</w:t>
      </w:r>
    </w:p>
    <w:p>
      <w:r>
        <w:rPr>
          <w:b w:val="0"/>
          <w:i w:val="0"/>
        </w:rPr>
        <w:t>где t_life = years · 31 536 000 – требуемый ресурс в секундах. Показатель степени 0,27 воспроизводит временную зависимость ΔVth ~ t^n с n ≈ 0,25–0,3, широко принятую в литературе по HCI-деградации планарных nMOSFET [4]. Множители 1,3 и 0,22 – эмпирические коэффициенты, подобранные по литературным данным.</w:t>
      </w:r>
    </w:p>
    <w:p>
      <w:pPr>
        <w:spacing w:before="120"/>
        <w:ind w:firstLine="0"/>
        <w:jc w:val="left"/>
      </w:pPr>
      <w:r>
        <w:rPr>
          <w:i/>
          <w:color w:val="707070"/>
        </w:rPr>
        <w:t>[МЕСТО ДЛЯ РИСУНКА: скриншот функции calculate_hci из core/aging.py. Текст:]</w:t>
      </w:r>
    </w:p>
    <w:p>
      <w:pPr>
        <w:spacing w:line="240" w:lineRule="auto"/>
        <w:ind w:firstLine="0" w:left="283"/>
      </w:pPr>
      <w:r>
        <w:rPr>
          <w:rFonts w:ascii="Consolas" w:hAnsi="Consolas"/>
          <w:i/>
          <w:color w:val="555555"/>
          <w:sz w:val="18"/>
        </w:rPr>
        <w:t>def calculate_hci(transistor, log, tox_nmos,</w:t>
      </w:r>
    </w:p>
    <w:p>
      <w:pPr>
        <w:spacing w:line="240" w:lineRule="auto"/>
        <w:ind w:firstLine="0" w:left="283"/>
      </w:pPr>
      <w:r>
        <w:rPr>
          <w:rFonts w:ascii="Consolas" w:hAnsi="Consolas"/>
          <w:i/>
          <w:color w:val="555555"/>
          <w:sz w:val="18"/>
        </w:rPr>
        <w:t xml:space="preserve">                  target_years) -&gt; TransistorAgingResult:</w:t>
      </w:r>
    </w:p>
    <w:p>
      <w:pPr>
        <w:spacing w:line="240" w:lineRule="auto"/>
        <w:ind w:firstLine="0" w:left="283"/>
      </w:pPr>
      <w:r>
        <w:rPr>
          <w:rFonts w:ascii="Consolas" w:hAnsi="Consolas"/>
          <w:i/>
          <w:color w:val="555555"/>
          <w:sz w:val="18"/>
        </w:rPr>
        <w:t xml:space="preserve">    years_s = _SECONDS_PER_YEAR * target_years</w:t>
      </w:r>
    </w:p>
    <w:p>
      <w:pPr>
        <w:spacing w:line="240" w:lineRule="auto"/>
        <w:ind w:firstLine="0" w:left="283"/>
      </w:pPr>
      <w:r>
        <w:rPr>
          <w:rFonts w:ascii="Consolas" w:hAnsi="Consolas"/>
          <w:i/>
          <w:color w:val="555555"/>
          <w:sz w:val="18"/>
        </w:rPr>
        <w:t xml:space="preserve">    c22, m_exp, n_exp = 0.22, 2, 0.27</w:t>
      </w:r>
    </w:p>
    <w:p>
      <w:pPr>
        <w:spacing w:line="240" w:lineRule="auto"/>
        <w:ind w:firstLine="0" w:left="283"/>
      </w:pPr>
      <w:r>
        <w:rPr>
          <w:rFonts w:ascii="Consolas" w:hAnsi="Consolas"/>
          <w:i/>
          <w:color w:val="555555"/>
          <w:sz w:val="18"/>
        </w:rPr>
        <w:t xml:space="preserve">    name_lower = transistor.name.lower()</w:t>
      </w:r>
    </w:p>
    <w:p>
      <w:pPr>
        <w:spacing w:line="240" w:lineRule="auto"/>
        <w:ind w:firstLine="0" w:left="283"/>
      </w:pPr>
      <w:r>
        <w:rPr>
          <w:rFonts w:ascii="Consolas" w:hAnsi="Consolas"/>
          <w:i/>
          <w:color w:val="555555"/>
          <w:sz w:val="18"/>
        </w:rPr>
        <w:t xml:space="preserve">    meas_integ = log.measurements.get(f"hci_{name_lower}")</w:t>
      </w:r>
    </w:p>
    <w:p>
      <w:pPr>
        <w:spacing w:line="240" w:lineRule="auto"/>
        <w:ind w:firstLine="0" w:left="283"/>
      </w:pPr>
      <w:r>
        <w:rPr>
          <w:rFonts w:ascii="Consolas" w:hAnsi="Consolas"/>
          <w:i/>
          <w:color w:val="555555"/>
          <w:sz w:val="18"/>
        </w:rPr>
        <w:t xml:space="preserve">    meas_max   = log.measurements.get(f"maxhci_{name_lower}")</w:t>
      </w:r>
    </w:p>
    <w:p>
      <w:pPr>
        <w:spacing w:line="240" w:lineRule="auto"/>
        <w:ind w:firstLine="0" w:left="283"/>
      </w:pPr>
      <w:r>
        <w:rPr>
          <w:rFonts w:ascii="Consolas" w:hAnsi="Consolas"/>
          <w:i/>
          <w:color w:val="555555"/>
          <w:sz w:val="18"/>
        </w:rPr>
        <w:t xml:space="preserve">    meas_maxid = log.measurements.get(f"maxid_{name_lower}")</w:t>
      </w:r>
    </w:p>
    <w:p>
      <w:pPr>
        <w:spacing w:line="240" w:lineRule="auto"/>
        <w:ind w:firstLine="0" w:left="283"/>
      </w:pPr>
      <w:r>
        <w:rPr>
          <w:rFonts w:ascii="Consolas" w:hAnsi="Consolas"/>
          <w:i/>
          <w:color w:val="555555"/>
          <w:sz w:val="18"/>
        </w:rPr>
        <w:t xml:space="preserve">    if None in (meas_integ, meas_max, meas_maxid)\</w:t>
      </w:r>
    </w:p>
    <w:p>
      <w:pPr>
        <w:spacing w:line="240" w:lineRule="auto"/>
        <w:ind w:firstLine="0" w:left="283"/>
      </w:pPr>
      <w:r>
        <w:rPr>
          <w:rFonts w:ascii="Consolas" w:hAnsi="Consolas"/>
          <w:i/>
          <w:color w:val="555555"/>
          <w:sz w:val="18"/>
        </w:rPr>
        <w:t xml:space="preserve">       or log.sim_time_s == 0:</w:t>
      </w:r>
    </w:p>
    <w:p>
      <w:pPr>
        <w:spacing w:line="240" w:lineRule="auto"/>
        <w:ind w:firstLine="0" w:left="283"/>
      </w:pPr>
      <w:r>
        <w:rPr>
          <w:rFonts w:ascii="Consolas" w:hAnsi="Consolas"/>
          <w:i/>
          <w:color w:val="555555"/>
          <w:sz w:val="18"/>
        </w:rPr>
        <w:t xml:space="preserve">        return result</w:t>
      </w:r>
    </w:p>
    <w:p>
      <w:pPr>
        <w:spacing w:line="240" w:lineRule="auto"/>
        <w:ind w:firstLine="0" w:left="283"/>
      </w:pPr>
      <w:r>
        <w:rPr>
          <w:rFonts w:ascii="Consolas" w:hAnsi="Consolas"/>
          <w:i/>
          <w:color w:val="555555"/>
          <w:sz w:val="18"/>
        </w:rPr>
        <w:t xml:space="preserve">    integ_val = meas_integ.value</w:t>
      </w:r>
    </w:p>
    <w:p>
      <w:pPr>
        <w:spacing w:line="240" w:lineRule="auto"/>
        <w:ind w:firstLine="0" w:left="283"/>
      </w:pPr>
      <w:r>
        <w:rPr>
          <w:rFonts w:ascii="Consolas" w:hAnsi="Consolas"/>
          <w:i/>
          <w:color w:val="555555"/>
          <w:sz w:val="18"/>
        </w:rPr>
        <w:t xml:space="preserve">    max_hci   = meas_max.value</w:t>
      </w:r>
    </w:p>
    <w:p>
      <w:pPr>
        <w:spacing w:line="240" w:lineRule="auto"/>
        <w:ind w:firstLine="0" w:left="283"/>
      </w:pPr>
      <w:r>
        <w:rPr>
          <w:rFonts w:ascii="Consolas" w:hAnsi="Consolas"/>
          <w:i/>
          <w:color w:val="555555"/>
          <w:sz w:val="18"/>
        </w:rPr>
        <w:t xml:space="preserve">    max_id    = meas_maxid.value</w:t>
      </w:r>
    </w:p>
    <w:p>
      <w:pPr>
        <w:spacing w:line="240" w:lineRule="auto"/>
        <w:ind w:firstLine="0" w:left="283"/>
      </w:pPr>
      <w:r>
        <w:rPr>
          <w:rFonts w:ascii="Consolas" w:hAnsi="Consolas"/>
          <w:i/>
          <w:color w:val="555555"/>
          <w:sz w:val="18"/>
        </w:rPr>
        <w:t xml:space="preserve">    active_time = abs(integ_val / (max_hci * 0.75))</w:t>
      </w:r>
    </w:p>
    <w:p>
      <w:pPr>
        <w:spacing w:line="240" w:lineRule="auto"/>
        <w:ind w:firstLine="0" w:left="283"/>
      </w:pPr>
      <w:r>
        <w:rPr>
          <w:rFonts w:ascii="Consolas" w:hAnsi="Consolas"/>
          <w:i/>
          <w:color w:val="555555"/>
          <w:sz w:val="18"/>
        </w:rPr>
        <w:t xml:space="preserve">    ratio = abs(integ_val / (max_hci * 0.75 * log.sim_time_s))</w:t>
      </w:r>
    </w:p>
    <w:p>
      <w:pPr>
        <w:spacing w:line="240" w:lineRule="auto"/>
        <w:ind w:firstLine="0" w:left="283"/>
      </w:pPr>
      <w:r>
        <w:rPr>
          <w:rFonts w:ascii="Consolas" w:hAnsi="Consolas"/>
          <w:i/>
          <w:color w:val="555555"/>
          <w:sz w:val="18"/>
        </w:rPr>
        <w:t xml:space="preserve">    delta_vth = 1.3 * c22 * abs(</w:t>
      </w:r>
    </w:p>
    <w:p>
      <w:pPr>
        <w:spacing w:line="240" w:lineRule="auto"/>
        <w:ind w:firstLine="0" w:left="283"/>
      </w:pPr>
      <w:r>
        <w:rPr>
          <w:rFonts w:ascii="Consolas" w:hAnsi="Consolas"/>
          <w:i/>
          <w:color w:val="555555"/>
          <w:sz w:val="18"/>
        </w:rPr>
        <w:t xml:space="preserve">        (max_id / transistor.width_m)</w:t>
      </w:r>
    </w:p>
    <w:p>
      <w:pPr>
        <w:spacing w:line="240" w:lineRule="auto"/>
        <w:ind w:firstLine="0" w:left="283"/>
      </w:pPr>
      <w:r>
        <w:rPr>
          <w:rFonts w:ascii="Consolas" w:hAnsi="Consolas"/>
          <w:i/>
          <w:color w:val="555555"/>
          <w:sz w:val="18"/>
        </w:rPr>
        <w:t xml:space="preserve">        * ((max_hci / max_id) ** m_exp)</w:t>
      </w:r>
    </w:p>
    <w:p>
      <w:pPr>
        <w:spacing w:line="240" w:lineRule="auto"/>
        <w:ind w:firstLine="0" w:left="283"/>
      </w:pPr>
      <w:r>
        <w:rPr>
          <w:rFonts w:ascii="Consolas" w:hAnsi="Consolas"/>
          <w:i/>
          <w:color w:val="555555"/>
          <w:sz w:val="18"/>
        </w:rPr>
        <w:t xml:space="preserve">        * years_s * ratio</w:t>
      </w:r>
    </w:p>
    <w:p>
      <w:pPr>
        <w:spacing w:line="240" w:lineRule="auto"/>
        <w:ind w:firstLine="0" w:left="283"/>
      </w:pPr>
      <w:r>
        <w:rPr>
          <w:rFonts w:ascii="Consolas" w:hAnsi="Consolas"/>
          <w:i/>
          <w:color w:val="555555"/>
          <w:sz w:val="18"/>
        </w:rPr>
        <w:t xml:space="preserve">    ) ** n_exp</w:t>
      </w:r>
    </w:p>
    <w:p>
      <w:pPr>
        <w:spacing w:line="240" w:lineRule="auto"/>
        <w:ind w:firstLine="0" w:left="283"/>
      </w:pPr>
      <w:r>
        <w:rPr>
          <w:rFonts w:ascii="Consolas" w:hAnsi="Consolas"/>
          <w:i/>
          <w:color w:val="555555"/>
          <w:sz w:val="18"/>
        </w:rPr>
        <w:t xml:space="preserve">    eps_ox = _EPSILON_SI02 * _EPSILON_0</w:t>
      </w:r>
    </w:p>
    <w:p>
      <w:pPr>
        <w:spacing w:line="240" w:lineRule="auto"/>
        <w:ind w:firstLine="0" w:left="283"/>
      </w:pPr>
      <w:r>
        <w:rPr>
          <w:rFonts w:ascii="Consolas" w:hAnsi="Consolas"/>
          <w:i/>
          <w:color w:val="555555"/>
          <w:sz w:val="18"/>
        </w:rPr>
        <w:t xml:space="preserve">    mobility_factor = 1 + (0.24e-16) * (</w:t>
      </w:r>
    </w:p>
    <w:p>
      <w:pPr>
        <w:spacing w:line="240" w:lineRule="auto"/>
        <w:ind w:firstLine="0" w:left="283"/>
      </w:pPr>
      <w:r>
        <w:rPr>
          <w:rFonts w:ascii="Consolas" w:hAnsi="Consolas"/>
          <w:i/>
          <w:color w:val="555555"/>
          <w:sz w:val="18"/>
        </w:rPr>
        <w:t xml:space="preserve">        (delta_vth * eps_ox / tox_nmos) / _Q_ELECTRON)</w:t>
      </w:r>
    </w:p>
    <w:p>
      <w:pPr>
        <w:spacing w:line="240" w:lineRule="auto"/>
        <w:ind w:firstLine="0" w:left="283"/>
      </w:pPr>
      <w:r>
        <w:rPr>
          <w:rFonts w:ascii="Consolas" w:hAnsi="Consolas"/>
          <w:i/>
          <w:color w:val="555555"/>
          <w:sz w:val="18"/>
        </w:rPr>
        <w:t xml:space="preserve">    ...</w:t>
      </w:r>
    </w:p>
    <w:p>
      <w:pPr>
        <w:spacing w:after="240"/>
        <w:ind w:firstLine="0"/>
        <w:jc w:val="center"/>
      </w:pPr>
      <w:r>
        <w:t>Рисунок 6 – Расчет ΔVth по модели HCI (функция calculate_hci)</w:t>
      </w:r>
    </w:p>
    <w:p>
      <w:pPr>
        <w:pStyle w:val="Heading3"/>
        <w:ind w:firstLine="0"/>
      </w:pPr>
      <w:r>
        <w:t>2.5.3 Модель NBTI для PMOS-транзисторов</w:t>
      </w:r>
    </w:p>
    <w:p>
      <w:r>
        <w:rPr>
          <w:b w:val="0"/>
          <w:i w:val="0"/>
        </w:rPr>
        <w:t>Физическая природа эффекта NBTI состоит в том, что при отрицательном смещении затвора и повышенной температуре ионы водорода диффундируют в оксид из границы Si/SiO₂, создавая положительный встроенный заряд, который сдвигает порог Vth в сторону более отрицательных значений (|Vth| увеличивается) [3].</w:t>
      </w:r>
    </w:p>
    <w:p>
      <w:r>
        <w:rPr>
          <w:b w:val="0"/>
          <w:i w:val="0"/>
        </w:rPr>
        <w:t>Для каждого PMOS-транзистора в include-файл добавляются директивы .measure, извлекающие из симуляции интеграл модуля Vsg и максимум произведения (V_dd − V_s)·(V_d − V_s). Эффективное время работы в режиме NBTI определяется как:</w:t>
      </w:r>
    </w:p>
    <w:p>
      <w:pPr>
        <w:spacing w:before="120" w:after="120"/>
        <w:ind w:firstLine="0"/>
        <w:jc w:val="center"/>
      </w:pPr>
      <w:r>
        <w:rPr>
          <w:rFonts w:ascii="Cambria Math" w:hAnsi="Cambria Math"/>
          <w:i/>
        </w:rPr>
        <w:t xml:space="preserve">t_nbti = integ_val / max_val,   ratio_nbti = t_nbti / t_sim   </w:t>
      </w:r>
      <w:r>
        <w:t>(5)</w:t>
      </w:r>
    </w:p>
    <w:p>
      <w:r>
        <w:rPr>
          <w:b w:val="0"/>
          <w:i w:val="0"/>
        </w:rPr>
        <w:t>Ключевой коэффициент модели Kv рассчитывается по формуле:</w:t>
      </w:r>
    </w:p>
    <w:p>
      <w:pPr>
        <w:spacing w:before="120" w:after="120"/>
        <w:ind w:firstLine="0"/>
        <w:jc w:val="center"/>
      </w:pPr>
      <w:r>
        <w:rPr>
          <w:rFonts w:ascii="Cambria Math" w:hAnsi="Cambria Math"/>
          <w:i/>
        </w:rPr>
        <w:t xml:space="preserve">Kv = (tox·q/ε_ox)³ · (10²⁶)² · Cox · (|Vsg·Vdg|_max − |Vth|) · √(exp(−7,85·10⁻²⁰/(k_B·T))/10¹⁰) · exp(2·(|Vsg·Vdg|_max − |Vth|)/(tox·0,355·10⁹))   </w:t>
      </w:r>
      <w:r>
        <w:t>(6)</w:t>
      </w:r>
    </w:p>
    <w:p>
      <w:r>
        <w:rPr>
          <w:b w:val="0"/>
          <w:i w:val="0"/>
        </w:rPr>
        <w:t>где T – температура в Кельвинах, считываемая из .log-файла. Сомножители имеют физический смысл: (tox·q/ε_ox)³ – куб напряжения на одном слое оксида; (10²⁶)² – квадрат плотности связей Si–H на интерфейсе; Cox·(|Vsg·Vdg|_max − |Vth|) – заряд инверсионного слоя; √exp(−E_a/k_BT) – термическая активация диссоциации связей Si–H; exp(2·ΔV·0,355·10⁹) – зависимость скорости диффузии от поля в оксиде [3].</w:t>
      </w:r>
    </w:p>
    <w:p>
      <w:r>
        <w:rPr>
          <w:b w:val="0"/>
          <w:i w:val="0"/>
        </w:rPr>
        <w:t>Сдвиг порогового напряжения по модели NBTI:</w:t>
      </w:r>
    </w:p>
    <w:p>
      <w:pPr>
        <w:spacing w:before="120" w:after="120"/>
        <w:ind w:firstLine="0"/>
        <w:jc w:val="center"/>
      </w:pPr>
      <w:r>
        <w:rPr>
          <w:rFonts w:ascii="Cambria Math" w:hAnsi="Cambria Math"/>
          <w:i/>
        </w:rPr>
        <w:t xml:space="preserve">ΔVth_NBTI = 0,7 · (Kv · √(ratio_nbti · 2 · t_life))^(1/3)   </w:t>
      </w:r>
      <w:r>
        <w:t>(7)</w:t>
      </w:r>
    </w:p>
    <w:p>
      <w:r>
        <w:rPr>
          <w:b w:val="0"/>
          <w:i w:val="0"/>
        </w:rPr>
        <w:t>Временная зависимость t^(1/3), заложенная в формулу, соответствует реакционно-диффузионной модели NBTI [3], в которой именно такой показатель возникает из решения диффузионного уравнения для водорода в оксиде. Множитель 0,7 – эмпирический коэффициент калибровки. Если выражение под корнем оказывается неположительным, значение ΔVth обнуляется (деградация отсутствует).</w:t>
      </w:r>
    </w:p>
    <w:p>
      <w:pPr>
        <w:pStyle w:val="Heading3"/>
        <w:ind w:firstLine="0"/>
      </w:pPr>
      <w:r>
        <w:t>2.5.4 Коррекция подвижности и категоризация</w:t>
      </w:r>
    </w:p>
    <w:p>
      <w:r>
        <w:rPr>
          <w:b w:val="0"/>
          <w:i w:val="0"/>
        </w:rPr>
        <w:t>Для обоих эффектов коэффициент снижения подвижности вычисляется по единой формуле:</w:t>
      </w:r>
    </w:p>
    <w:p>
      <w:pPr>
        <w:spacing w:before="120" w:after="120"/>
        <w:ind w:firstLine="0"/>
        <w:jc w:val="center"/>
      </w:pPr>
      <w:r>
        <w:rPr>
          <w:rFonts w:ascii="Cambria Math" w:hAnsi="Cambria Math"/>
          <w:i/>
        </w:rPr>
        <w:t xml:space="preserve">factor_u0 = 1 + 0,24·10⁻¹⁶ · ΔVth · Cox / q   </w:t>
      </w:r>
      <w:r>
        <w:t>(8)</w:t>
      </w:r>
    </w:p>
    <w:p>
      <w:r>
        <w:rPr>
          <w:b w:val="0"/>
          <w:i w:val="0"/>
        </w:rPr>
        <w:t>Скорректированная подвижность:</w:t>
      </w:r>
    </w:p>
    <w:p>
      <w:pPr>
        <w:spacing w:before="120" w:after="120"/>
        <w:ind w:firstLine="0"/>
        <w:jc w:val="center"/>
      </w:pPr>
      <w:r>
        <w:rPr>
          <w:rFonts w:ascii="Cambria Math" w:hAnsi="Cambria Math"/>
          <w:i/>
        </w:rPr>
        <w:t xml:space="preserve">u0_aged = u0_original / factor_u0   </w:t>
      </w:r>
      <w:r>
        <w:t>(9)</w:t>
      </w:r>
    </w:p>
    <w:p>
      <w:r>
        <w:rPr>
          <w:b w:val="0"/>
          <w:i w:val="0"/>
        </w:rPr>
        <w:t>Чтобы не создавать отдельную модель для каждого транзистора, в программе реализована категоризация по отношению ratio_vth = (|Vth₀| + ΔVth) / |Vth₀|. Функция vth_category возвращает номер категории (0–3) согласно диапазонам, приведенным в таблице 3.</w:t>
      </w:r>
    </w:p>
    <w:p>
      <w:pPr>
        <w:spacing w:before="120"/>
        <w:ind w:firstLine="0"/>
        <w:jc w:val="left"/>
      </w:pPr>
      <w:r>
        <w:t>Таблица 3 – Категоризация деградации транзисторов для замены модели</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701"/>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Категория</w:t>
            </w:r>
          </w:p>
        </w:tc>
        <w:tc>
          <w:tcPr>
            <w:tcW w:type="dxa" w:w="2835"/>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Диапазон ratio_vth</w:t>
            </w:r>
          </w:p>
        </w:tc>
        <w:tc>
          <w:tcPr>
            <w:tcW w:type="dxa" w:w="1984"/>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Множитель vth0</w:t>
            </w:r>
          </w:p>
        </w:tc>
        <w:tc>
          <w:tcPr>
            <w:tcW w:type="dxa" w:w="2268"/>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Суффикс модели</w:t>
            </w:r>
          </w:p>
        </w:tc>
      </w:tr>
      <w:tr>
        <w:tc>
          <w:tcPr>
            <w:tcW w:type="dxa" w:w="1701"/>
            <w:tcBorders>
              <w:top w:val="single" w:sz="4" w:color="000000"/>
              <w:left w:val="single" w:sz="4" w:color="000000"/>
              <w:bottom w:val="single" w:sz="4" w:color="000000"/>
              <w:right w:val="single" w:sz="4" w:color="000000"/>
            </w:tcBorders>
          </w:tcPr>
          <w:p>
            <w:pPr>
              <w:ind w:firstLine="0"/>
              <w:jc w:val="center"/>
            </w:pPr>
            <w:r/>
            <w:r>
              <w:rPr>
                <w:sz w:val="22"/>
              </w:rPr>
              <w:t>0 (норма)</w:t>
            </w:r>
          </w:p>
        </w:tc>
        <w:tc>
          <w:tcPr>
            <w:tcW w:type="dxa" w:w="2835"/>
            <w:tcBorders>
              <w:top w:val="single" w:sz="4" w:color="000000"/>
              <w:left w:val="single" w:sz="4" w:color="000000"/>
              <w:bottom w:val="single" w:sz="4" w:color="000000"/>
              <w:right w:val="single" w:sz="4" w:color="000000"/>
            </w:tcBorders>
          </w:tcPr>
          <w:p>
            <w:pPr>
              <w:ind w:firstLine="0"/>
              <w:jc w:val="center"/>
            </w:pPr>
            <w:r/>
            <w:r>
              <w:rPr>
                <w:sz w:val="22"/>
              </w:rPr>
              <w:t>≤ 1,000 или &gt; 1,750</w:t>
            </w:r>
          </w:p>
        </w:tc>
        <w:tc>
          <w:tcPr>
            <w:tcW w:type="dxa" w:w="1984"/>
            <w:tcBorders>
              <w:top w:val="single" w:sz="4" w:color="000000"/>
              <w:left w:val="single" w:sz="4" w:color="000000"/>
              <w:bottom w:val="single" w:sz="4" w:color="000000"/>
              <w:right w:val="single" w:sz="4" w:color="000000"/>
            </w:tcBorders>
          </w:tcPr>
          <w:p>
            <w:pPr>
              <w:ind w:firstLine="0"/>
              <w:jc w:val="center"/>
            </w:pPr>
            <w:r/>
            <w:r>
              <w:rPr>
                <w:sz w:val="22"/>
              </w:rPr>
              <w:t>1,0000</w:t>
            </w:r>
          </w:p>
        </w:tc>
        <w:tc>
          <w:tcPr>
            <w:tcW w:type="dxa" w:w="2268"/>
            <w:tcBorders>
              <w:top w:val="single" w:sz="4" w:color="000000"/>
              <w:left w:val="single" w:sz="4" w:color="000000"/>
              <w:bottom w:val="single" w:sz="4" w:color="000000"/>
              <w:right w:val="single" w:sz="4" w:color="000000"/>
            </w:tcBorders>
          </w:tcPr>
          <w:p>
            <w:pPr>
              <w:ind w:firstLine="0"/>
              <w:jc w:val="center"/>
            </w:pPr>
            <w:r/>
            <w:r>
              <w:rPr>
                <w:sz w:val="22"/>
              </w:rPr>
              <w:t>без изменений</w:t>
            </w:r>
          </w:p>
        </w:tc>
      </w:tr>
      <w:tr>
        <w:tc>
          <w:tcPr>
            <w:tcW w:type="dxa" w:w="1701"/>
            <w:tcBorders>
              <w:top w:val="single" w:sz="4" w:color="000000"/>
              <w:left w:val="single" w:sz="4" w:color="000000"/>
              <w:bottom w:val="single" w:sz="4" w:color="000000"/>
              <w:right w:val="single" w:sz="4" w:color="000000"/>
            </w:tcBorders>
          </w:tcPr>
          <w:p>
            <w:pPr>
              <w:ind w:firstLine="0"/>
              <w:jc w:val="center"/>
            </w:pPr>
            <w:r/>
            <w:r>
              <w:rPr>
                <w:sz w:val="22"/>
              </w:rPr>
              <w:t>1</w:t>
            </w:r>
          </w:p>
        </w:tc>
        <w:tc>
          <w:tcPr>
            <w:tcW w:type="dxa" w:w="2835"/>
            <w:tcBorders>
              <w:top w:val="single" w:sz="4" w:color="000000"/>
              <w:left w:val="single" w:sz="4" w:color="000000"/>
              <w:bottom w:val="single" w:sz="4" w:color="000000"/>
              <w:right w:val="single" w:sz="4" w:color="000000"/>
            </w:tcBorders>
          </w:tcPr>
          <w:p>
            <w:pPr>
              <w:ind w:firstLine="0"/>
              <w:jc w:val="center"/>
            </w:pPr>
            <w:r/>
            <w:r>
              <w:rPr>
                <w:sz w:val="22"/>
              </w:rPr>
              <w:t>1,000 &lt; ratio ≤ 1,025</w:t>
            </w:r>
          </w:p>
        </w:tc>
        <w:tc>
          <w:tcPr>
            <w:tcW w:type="dxa" w:w="1984"/>
            <w:tcBorders>
              <w:top w:val="single" w:sz="4" w:color="000000"/>
              <w:left w:val="single" w:sz="4" w:color="000000"/>
              <w:bottom w:val="single" w:sz="4" w:color="000000"/>
              <w:right w:val="single" w:sz="4" w:color="000000"/>
            </w:tcBorders>
          </w:tcPr>
          <w:p>
            <w:pPr>
              <w:ind w:firstLine="0"/>
              <w:jc w:val="center"/>
            </w:pPr>
            <w:r/>
            <w:r>
              <w:rPr>
                <w:sz w:val="22"/>
              </w:rPr>
              <w:t>1,0125</w:t>
            </w:r>
          </w:p>
        </w:tc>
        <w:tc>
          <w:tcPr>
            <w:tcW w:type="dxa" w:w="2268"/>
            <w:tcBorders>
              <w:top w:val="single" w:sz="4" w:color="000000"/>
              <w:left w:val="single" w:sz="4" w:color="000000"/>
              <w:bottom w:val="single" w:sz="4" w:color="000000"/>
              <w:right w:val="single" w:sz="4" w:color="000000"/>
            </w:tcBorders>
          </w:tcPr>
          <w:p>
            <w:pPr>
              <w:ind w:firstLine="0"/>
              <w:jc w:val="center"/>
            </w:pPr>
            <w:r/>
            <w:r>
              <w:rPr>
                <w:sz w:val="22"/>
              </w:rPr>
              <w:t>NMOS1 / PMOS1</w:t>
            </w:r>
          </w:p>
        </w:tc>
      </w:tr>
      <w:tr>
        <w:tc>
          <w:tcPr>
            <w:tcW w:type="dxa" w:w="1701"/>
            <w:tcBorders>
              <w:top w:val="single" w:sz="4" w:color="000000"/>
              <w:left w:val="single" w:sz="4" w:color="000000"/>
              <w:bottom w:val="single" w:sz="4" w:color="000000"/>
              <w:right w:val="single" w:sz="4" w:color="000000"/>
            </w:tcBorders>
          </w:tcPr>
          <w:p>
            <w:pPr>
              <w:ind w:firstLine="0"/>
              <w:jc w:val="center"/>
            </w:pPr>
            <w:r/>
            <w:r>
              <w:rPr>
                <w:sz w:val="22"/>
              </w:rPr>
              <w:t>2</w:t>
            </w:r>
          </w:p>
        </w:tc>
        <w:tc>
          <w:tcPr>
            <w:tcW w:type="dxa" w:w="2835"/>
            <w:tcBorders>
              <w:top w:val="single" w:sz="4" w:color="000000"/>
              <w:left w:val="single" w:sz="4" w:color="000000"/>
              <w:bottom w:val="single" w:sz="4" w:color="000000"/>
              <w:right w:val="single" w:sz="4" w:color="000000"/>
            </w:tcBorders>
          </w:tcPr>
          <w:p>
            <w:pPr>
              <w:ind w:firstLine="0"/>
              <w:jc w:val="center"/>
            </w:pPr>
            <w:r/>
            <w:r>
              <w:rPr>
                <w:sz w:val="22"/>
              </w:rPr>
              <w:t>1,025 &lt; ratio ≤ 1,050</w:t>
            </w:r>
          </w:p>
        </w:tc>
        <w:tc>
          <w:tcPr>
            <w:tcW w:type="dxa" w:w="1984"/>
            <w:tcBorders>
              <w:top w:val="single" w:sz="4" w:color="000000"/>
              <w:left w:val="single" w:sz="4" w:color="000000"/>
              <w:bottom w:val="single" w:sz="4" w:color="000000"/>
              <w:right w:val="single" w:sz="4" w:color="000000"/>
            </w:tcBorders>
          </w:tcPr>
          <w:p>
            <w:pPr>
              <w:ind w:firstLine="0"/>
              <w:jc w:val="center"/>
            </w:pPr>
            <w:r/>
            <w:r>
              <w:rPr>
                <w:sz w:val="22"/>
              </w:rPr>
              <w:t>1,0375</w:t>
            </w:r>
          </w:p>
        </w:tc>
        <w:tc>
          <w:tcPr>
            <w:tcW w:type="dxa" w:w="2268"/>
            <w:tcBorders>
              <w:top w:val="single" w:sz="4" w:color="000000"/>
              <w:left w:val="single" w:sz="4" w:color="000000"/>
              <w:bottom w:val="single" w:sz="4" w:color="000000"/>
              <w:right w:val="single" w:sz="4" w:color="000000"/>
            </w:tcBorders>
          </w:tcPr>
          <w:p>
            <w:pPr>
              <w:ind w:firstLine="0"/>
              <w:jc w:val="center"/>
            </w:pPr>
            <w:r/>
            <w:r>
              <w:rPr>
                <w:sz w:val="22"/>
              </w:rPr>
              <w:t>NMOS2 / PMOS2</w:t>
            </w:r>
          </w:p>
        </w:tc>
      </w:tr>
      <w:tr>
        <w:tc>
          <w:tcPr>
            <w:tcW w:type="dxa" w:w="1701"/>
            <w:tcBorders>
              <w:top w:val="single" w:sz="4" w:color="000000"/>
              <w:left w:val="single" w:sz="4" w:color="000000"/>
              <w:bottom w:val="single" w:sz="4" w:color="000000"/>
              <w:right w:val="single" w:sz="4" w:color="000000"/>
            </w:tcBorders>
          </w:tcPr>
          <w:p>
            <w:pPr>
              <w:ind w:firstLine="0"/>
              <w:jc w:val="center"/>
            </w:pPr>
            <w:r/>
            <w:r>
              <w:rPr>
                <w:sz w:val="22"/>
              </w:rPr>
              <w:t>3</w:t>
            </w:r>
          </w:p>
        </w:tc>
        <w:tc>
          <w:tcPr>
            <w:tcW w:type="dxa" w:w="2835"/>
            <w:tcBorders>
              <w:top w:val="single" w:sz="4" w:color="000000"/>
              <w:left w:val="single" w:sz="4" w:color="000000"/>
              <w:bottom w:val="single" w:sz="4" w:color="000000"/>
              <w:right w:val="single" w:sz="4" w:color="000000"/>
            </w:tcBorders>
          </w:tcPr>
          <w:p>
            <w:pPr>
              <w:ind w:firstLine="0"/>
              <w:jc w:val="center"/>
            </w:pPr>
            <w:r/>
            <w:r>
              <w:rPr>
                <w:sz w:val="22"/>
              </w:rPr>
              <w:t>1,050 &lt; ratio ≤ 1,750</w:t>
            </w:r>
          </w:p>
        </w:tc>
        <w:tc>
          <w:tcPr>
            <w:tcW w:type="dxa" w:w="1984"/>
            <w:tcBorders>
              <w:top w:val="single" w:sz="4" w:color="000000"/>
              <w:left w:val="single" w:sz="4" w:color="000000"/>
              <w:bottom w:val="single" w:sz="4" w:color="000000"/>
              <w:right w:val="single" w:sz="4" w:color="000000"/>
            </w:tcBorders>
          </w:tcPr>
          <w:p>
            <w:pPr>
              <w:ind w:firstLine="0"/>
              <w:jc w:val="center"/>
            </w:pPr>
            <w:r/>
            <w:r>
              <w:rPr>
                <w:sz w:val="22"/>
              </w:rPr>
              <w:t>1,0625</w:t>
            </w:r>
          </w:p>
        </w:tc>
        <w:tc>
          <w:tcPr>
            <w:tcW w:type="dxa" w:w="2268"/>
            <w:tcBorders>
              <w:top w:val="single" w:sz="4" w:color="000000"/>
              <w:left w:val="single" w:sz="4" w:color="000000"/>
              <w:bottom w:val="single" w:sz="4" w:color="000000"/>
              <w:right w:val="single" w:sz="4" w:color="000000"/>
            </w:tcBorders>
          </w:tcPr>
          <w:p>
            <w:pPr>
              <w:ind w:firstLine="0"/>
              <w:jc w:val="center"/>
            </w:pPr>
            <w:r/>
            <w:r>
              <w:rPr>
                <w:sz w:val="22"/>
              </w:rPr>
              <w:t>NMOS3 / PMOS3</w:t>
            </w:r>
          </w:p>
        </w:tc>
      </w:tr>
    </w:tbl>
    <w:p>
      <w:pPr>
        <w:spacing w:after="120"/>
      </w:pPr>
    </w:p>
    <w:p>
      <w:r>
        <w:rPr>
          <w:b w:val="0"/>
          <w:i w:val="0"/>
        </w:rPr>
        <w:t>Множители vth0 выбраны как середины диапазонов: для категории 1 – (1,000 + 1,025)/2 = 1,0125; для категории 2 – (1,025 + 1,050)/2 = 1,0375; для категории 3 – консервативная оценка середины (1,050 + 1,100)/2 ≈ 1,0625. Для каждой категории создается отдельная SPICE-модель (NMOS1/NMOS2/NMOS3, PMOS1/PMOS2/PMOS3) с соответствующим образом скорректированными vth0 и u0. Коррекция u0 выполняется индивидуально по каждой категории как среднее значение factor_u0 по всем транзисторам, попавшим в категорию. Если в категорию не попало ни одного транзистора, соответствующая модель в файл models_aged.txt не записывается, что экономит размер выходного файла и упрощает его включение в схему.</w:t>
      </w:r>
    </w:p>
    <w:p>
      <w:pPr>
        <w:pStyle w:val="Heading3"/>
        <w:ind w:firstLine="0"/>
      </w:pPr>
      <w:r>
        <w:t>2.5.5 Численные методы и допущения</w:t>
      </w:r>
    </w:p>
    <w:p>
      <w:r>
        <w:rPr>
          <w:b w:val="0"/>
          <w:i w:val="0"/>
        </w:rPr>
        <w:t>Интегрирование выражений ∫I_hci dt и ∫|Vgs| dt выполняется встроенным решателем LTspice через директиву .measure tran ... integ ... – программа только читает готовый результат из .log-файла. Метод интегрирования – трапеций, используемый по умолчанию в LTspice для директив .measure.</w:t>
      </w:r>
    </w:p>
    <w:p>
      <w:r>
        <w:rPr>
          <w:b w:val="0"/>
          <w:i w:val="0"/>
        </w:rPr>
        <w:t>Программа предполагает, что рабочий режим транзистора в ходе симуляции представителен для всего срока службы. При значительном разбросе режимов рекомендуется анализировать транзисторы по группам и масштабировать t_aging = ratio · t_life, где ratio = t_active / t_sim – доля активного времени в симуляции.</w:t>
      </w:r>
    </w:p>
    <w:p>
      <w:pPr>
        <w:pStyle w:val="Heading2"/>
        <w:ind w:firstLine="0"/>
      </w:pPr>
      <w:r>
        <w:t>2.6 Разработка пользовательского интерфейса</w:t>
      </w:r>
    </w:p>
    <w:p>
      <w:r>
        <w:rPr>
          <w:b w:val="0"/>
          <w:i w:val="0"/>
        </w:rPr>
        <w:t>Графический интерфейс реализован на базе фреймворка PyQt6, обеспечивающего нативное отображение элементов управления на платформе Windows и поддерживающего декларативный стиль оформления. Главное окно программы построено вокруг виджета QStackedWidget, переключающего отображение пяти страниц-шагов мастера, и горизонтального разделителя QSplitter, отделяющего рабочую область от журнала событий. Цветовая схема и стилизация элементов управления заданы через таблицу стилей в формате, совместимом с CSS.</w:t>
      </w:r>
    </w:p>
    <w:p>
      <w:r>
        <w:rPr>
          <w:b w:val="0"/>
          <w:i w:val="0"/>
        </w:rPr>
        <w:t>Длительные операции – разбор крупных netlist-файлов и собственно расчет деградации – вынесены в отдельный рабочий поток с использованием механизма QThread. Принятая схема позволяет сохранять отзывчивость интерфейса в процессе обработки и отображать индикатор прогресса в нижней части окна. Передача результатов из рабочего потока в основной поток построена на стандартном для Qt механизме сигналов и слотов.</w:t>
      </w:r>
    </w:p>
    <w:p>
      <w:pPr>
        <w:pStyle w:val="Heading3"/>
        <w:ind w:firstLine="0"/>
      </w:pPr>
      <w:r>
        <w:t>2.6.1 Шаг 1 – загрузка netlist и анализ содержимого</w:t>
      </w:r>
    </w:p>
    <w:p>
      <w:r>
        <w:rPr>
          <w:b w:val="0"/>
          <w:i w:val="0"/>
        </w:rPr>
        <w:t>На первом шаге пользователь выбирает SPICE-netlist в формате .cir, .net или .txt с помощью кнопки «Выбрать файл netlist». В рабочей области под кнопкой выводится путь к выбранному файлу и сводная информация о его содержимом – общее количество найденных транзисторов с разбивкой на NMOS и PMOS, а также значения эффективной толщины подзатворного оксида. Журнал событий в правой части окна отражает результат разбора.</w:t>
      </w:r>
    </w:p>
    <w:p>
      <w:pPr>
        <w:spacing w:before="120"/>
        <w:ind w:firstLine="0"/>
        <w:jc w:val="center"/>
      </w:pPr>
      <w:r>
        <w:rPr>
          <w:i/>
          <w:color w:val="707070"/>
        </w:rPr>
        <w:t>[МЕСТО ДЛЯ РИСУНКА: скриншот главного окна программы на первом шаге. Слева кнопка «Выбрать файл netlist», под ней краткая сводка (имя файла, количество NMOS, количество PMOS, tox_nmos, tox_pmos), справа – темный журнал событий с записями разбора. Шаг 1 подсвечен в верхнем индикаторе шагов.]</w:t>
      </w:r>
    </w:p>
    <w:p>
      <w:pPr>
        <w:spacing w:after="240"/>
        <w:ind w:firstLine="0"/>
        <w:jc w:val="center"/>
      </w:pPr>
      <w:r>
        <w:t>Рисунок 7 – Первый шаг мастера: загрузка netlist-файла</w:t>
      </w:r>
    </w:p>
    <w:p>
      <w:pPr>
        <w:pStyle w:val="Heading3"/>
        <w:ind w:firstLine="0"/>
      </w:pPr>
      <w:r>
        <w:t>2.6.2 Шаг 2 – выбор транзисторов для анализа</w:t>
      </w:r>
    </w:p>
    <w:p>
      <w:r>
        <w:rPr>
          <w:b w:val="0"/>
          <w:i w:val="0"/>
        </w:rPr>
        <w:t>На втором шаге выводится список всех найденных в схеме МОП-транзисторов. Для каждого транзистора отображаются его имя, тип канала и геометрические параметры – длина и ширина канала. Цветовая дифференциация имен (синий цвет для NMOS, фиолетовый для PMOS) обеспечивает визуальное разделение транзисторов по типу. Для удобства массового выбора предусмотрены кнопки «Выбрать все» и «Снять выбор».</w:t>
      </w:r>
    </w:p>
    <w:p>
      <w:pPr>
        <w:spacing w:before="120"/>
        <w:ind w:firstLine="0"/>
        <w:jc w:val="center"/>
      </w:pPr>
      <w:r>
        <w:rPr>
          <w:i/>
          <w:color w:val="707070"/>
        </w:rPr>
        <w:t>[МЕСТО ДЛЯ РИСУНКА: скриншот окна на втором шаге. Большой список из шести строк с именами транзисторов M1...M6 с цветовой индикацией: M1, M2, M5, M6 синим (NMOS), M3, M4 фиолетовым (PMOS). У каждого транзистора показан чек-бокс, тип канала и параметры l = 32n w = ... Внизу кнопки «Выбрать все», «Снять выбор», «Далее».]</w:t>
      </w:r>
    </w:p>
    <w:p>
      <w:pPr>
        <w:spacing w:after="240"/>
        <w:ind w:firstLine="0"/>
        <w:jc w:val="center"/>
      </w:pPr>
      <w:r>
        <w:t>Рисунок 8 – Второй шаг: выбор транзисторов</w:t>
      </w:r>
    </w:p>
    <w:p>
      <w:pPr>
        <w:pStyle w:val="Heading3"/>
        <w:ind w:firstLine="0"/>
      </w:pPr>
      <w:r>
        <w:t>2.6.3 Шаг 3 – подготовка симуляции в LTspice</w:t>
      </w:r>
    </w:p>
    <w:p>
      <w:r>
        <w:rPr>
          <w:b w:val="0"/>
          <w:i w:val="0"/>
        </w:rPr>
        <w:t>На третьем шаге программа автоматически формирует include-файл с SPICE-директивами для измерения характеристик выбранных транзисторов. Содержимое сформированного файла отображается в текстовом поле в центральной части рабочей области, что позволяет пользователю проверить корректность сформированных директив перед их использованием. Кнопки «Копировать директиву .include» и «Открыть схему в LTspice» обеспечивают переход к симуляции.</w:t>
      </w:r>
    </w:p>
    <w:p>
      <w:pPr>
        <w:spacing w:before="120"/>
        <w:ind w:firstLine="0"/>
        <w:jc w:val="center"/>
      </w:pPr>
      <w:r>
        <w:rPr>
          <w:i/>
          <w:color w:val="707070"/>
        </w:rPr>
        <w:t>[МЕСТО ДЛЯ РИСУНКА: скриншот окна на третьем шаге с многострочным текстовым полем, содержащим B-источники тока (B6Ib, B5Ib, B2Ib, B1Ib) и директивы .measure для NMOS, плюс пары maxNBTI/NBTI для M3, M4. Под полем кнопки «Копировать директиву .include», «Открыть схему в LTspice», «Далее».]</w:t>
      </w:r>
    </w:p>
    <w:p>
      <w:pPr>
        <w:spacing w:after="240"/>
        <w:ind w:firstLine="0"/>
        <w:jc w:val="center"/>
      </w:pPr>
      <w:r>
        <w:t>Рисунок 9 – Третий шаг: сформированные SPICE-директивы</w:t>
      </w:r>
    </w:p>
    <w:p>
      <w:pPr>
        <w:pStyle w:val="Heading3"/>
        <w:ind w:firstLine="0"/>
      </w:pPr>
      <w:r>
        <w:t>2.6.4 Шаг 4 – загрузка результатов симуляции</w:t>
      </w:r>
    </w:p>
    <w:p>
      <w:r>
        <w:rPr>
          <w:b w:val="0"/>
          <w:i w:val="0"/>
        </w:rPr>
        <w:t>После запуска транзиентного расчета в LTspice пользователь возвращается в программу и на четвертом шаге подгружает Spice Error Log, формируемый симулятором рядом со схемой. Через диалог «Параметры расчета» вводятся срок службы транзисторов и значение порогового напряжения PMOS-моделей. Для проектной нормы 32 нм и канала длиной 50 нм подсказка к диалогу рекомендует использовать значение 0,47 В, а для канала длиной 100 нм и более – значение, превышающее vth0 модели на 0,05 В.</w:t>
      </w:r>
    </w:p>
    <w:p>
      <w:pPr>
        <w:spacing w:before="120"/>
        <w:ind w:firstLine="0"/>
        <w:jc w:val="center"/>
      </w:pPr>
      <w:r>
        <w:rPr>
          <w:i/>
          <w:color w:val="707070"/>
        </w:rPr>
        <w:t>[МЕСТО ДЛЯ РИСУНКА: два скриншота рядом: слева окно четвертого шага с кнопкой «Выбрать .log-файл», под ней путь и сводка (temperature, sim_time, число найденных измерений); справа модальный диалог «Параметры расчета» с двумя полями ввода – «Срок службы (лет)» (по умолчанию 10) и «|Vth| PMOS, В» (по умолчанию 0,4) – и подсказкой для значения Vth в технологии 32 нм. После ввода параметров и нажатия кнопки «Рассчитать старение» запускается процедура расчета деградации, прогресс которой отображается в журнале событий и индикаторе прогресса в нижней части окна.]</w:t>
      </w:r>
    </w:p>
    <w:p>
      <w:pPr>
        <w:spacing w:after="240"/>
        <w:ind w:firstLine="0"/>
        <w:jc w:val="center"/>
      </w:pPr>
      <w:r>
        <w:t>Рисунок 10 – Четвертый шаг и диалог ввода параметров</w:t>
      </w:r>
    </w:p>
    <w:p>
      <w:pPr>
        <w:pStyle w:val="Heading3"/>
        <w:ind w:firstLine="0"/>
      </w:pPr>
      <w:r>
        <w:t>2.6.5 Шаг 5 – результаты анализа</w:t>
      </w:r>
    </w:p>
    <w:p>
      <w:r>
        <w:rPr>
          <w:b w:val="0"/>
          <w:i w:val="0"/>
        </w:rPr>
        <w:t>На пятом шаге выводятся итоги анализа: для каждого выбранного транзистора отображаются ΔVth, время работы в соответствующем режиме деградации, доля времени от полного времени симуляции и поправочный коэффициент подвижности. Кнопки «Открыть HTML-отчет» и «Создать постаревший netlist» позволяют сформировать итоговые результаты. Дополнительно реализована возможность сравнения деградации при разных температурах через кнопку «Анализ температурного влияния», результаты которого экспортируются в форматах CSV, TXT и HTML.</w:t>
      </w:r>
    </w:p>
    <w:p>
      <w:pPr>
        <w:spacing w:before="120"/>
        <w:ind w:firstLine="0"/>
        <w:jc w:val="center"/>
      </w:pPr>
      <w:r>
        <w:rPr>
          <w:i/>
          <w:color w:val="707070"/>
        </w:rPr>
        <w:t>[МЕСТО ДЛЯ РИСУНКА: скриншот окна на пятом шаге с двумя секциями карточек: верхняя «Эффект горячих носителей (HCI) – NMOS» с четырьмя строками (M1, M2, M5, M6); нижняя «Нестабильность отрицательного порогового напряжения (NBTI) – PMOS» с двумя строками (M3, M4). У каждой строки показаны ΔVth, время в режиме, доля от t_sim, factor_u0 и chip-метка степени деградации (Высокая / Средняя / Низкая) разными цветами. Внизу кнопки «Открыть HTML-отчет», «Создать постаревший netlist», «Анализ температурного влияния», «Экспорт в CSV/TXT». Сценарии взаимодействия пользователя со всеми пятью шагами мастера были отлажены на тестовых КМОП-схемах с проектными нормами 32 нм. Реализованный пользовательский интерфейс обеспечивает доступность инструмента для инженеров-схемотехников, не имеющих опыта работы с командной строкой Python.]</w:t>
      </w:r>
    </w:p>
    <w:p>
      <w:pPr>
        <w:spacing w:after="240"/>
        <w:ind w:firstLine="0"/>
        <w:jc w:val="center"/>
      </w:pPr>
      <w:r>
        <w:t>Рисунок 11 – Пятый шаг: результаты анализа деградации</w:t>
      </w:r>
    </w:p>
    <w:p>
      <w:pPr>
        <w:pStyle w:val="Heading2"/>
        <w:ind w:firstLine="0"/>
      </w:pPr>
      <w:r>
        <w:t>2.7 Схемотехническое моделирование тестовой ячейки SRAM</w:t>
      </w:r>
    </w:p>
    <w:p>
      <w:r>
        <w:rPr>
          <w:b w:val="0"/>
          <w:i w:val="0"/>
        </w:rPr>
        <w:t>В качестве основной тестовой схемы для верификации разрабатываемого ПО выбрана ячейка статического оперативного запоминающего устройства (SRAM) типа 6T, выполненная по технологии 32 нм. Выбор именно SRAM-ячейки обусловлен тремя причинами.</w:t>
      </w:r>
    </w:p>
    <w:p>
      <w:r>
        <w:rPr>
          <w:b w:val="0"/>
          <w:i w:val="0"/>
        </w:rPr>
        <w:t>Во-первых, 6T SRAM – широко распространенная в индустрии тестовая схема для оценки надежности и деградации: ее поведение хорошо изучено, а чувствительность к сдвигу Vth транзисторов прямо связана с эксплуатационными характеристиками (запас помехоустойчивости SNM, задержки чтения и записи).</w:t>
      </w:r>
    </w:p>
    <w:p>
      <w:r>
        <w:rPr>
          <w:b w:val="0"/>
          <w:i w:val="0"/>
        </w:rPr>
        <w:t>Во-вторых, ячейка содержит одновременно и NMOS-, и PMOS-транзисторы в разных рабочих режимах: два access-транзистора работают в импульсном режиме с высокими латеральными полями (доминирует HCI), а кросс-связанные пары NMOS- и PMOS-транзисторов инверторов длительно находятся в стационарных состояниях хранения «0» и «1» (для PMOS-транзистора, удерживающего «1», доминирует NBTI).</w:t>
      </w:r>
    </w:p>
    <w:p>
      <w:r>
        <w:rPr>
          <w:b w:val="0"/>
          <w:i w:val="0"/>
        </w:rPr>
        <w:t>В-третьих, в ячейке транзисторы разных типов имеют разную ширину канала (48 нм для NMOS, 150 нм для PMOS), что позволяет проверить корректность учета ширины W в формуле тока горячих носителей и в расчете ΔVth.</w:t>
      </w:r>
    </w:p>
    <w:p>
      <w:pPr>
        <w:pStyle w:val="Heading3"/>
        <w:ind w:firstLine="0"/>
      </w:pPr>
      <w:r>
        <w:t>2.7.1 Структура и параметры ячейки</w:t>
      </w:r>
    </w:p>
    <w:p>
      <w:r>
        <w:rPr>
          <w:b w:val="0"/>
          <w:i w:val="0"/>
        </w:rPr>
        <w:t>Ячейка содержит шесть транзисторов, объединенных в два кросс-связанных КМОП-инвертора и два access-транзистора, управляемых сигналом на word-line:</w:t>
      </w:r>
    </w:p>
    <w:p>
      <w:pPr>
        <w:ind w:left="567" w:hanging="283"/>
        <w:jc w:val="both"/>
      </w:pPr>
      <w:r>
        <w:t>– M1, M2 – NMOS-транзисторы инверторов (pull-down), L = 32 нм, W = 48 нм;</w:t>
      </w:r>
    </w:p>
    <w:p>
      <w:pPr>
        <w:ind w:left="567" w:hanging="283"/>
        <w:jc w:val="both"/>
      </w:pPr>
      <w:r>
        <w:t>– M3, M4 – PMOS-транзисторы инверторов (pull-up), L = 32 нм, W = 150 нм;</w:t>
      </w:r>
    </w:p>
    <w:p>
      <w:pPr>
        <w:ind w:left="567" w:hanging="283"/>
        <w:jc w:val="both"/>
      </w:pPr>
      <w:r>
        <w:t>– M5, M6 – NMOS-access-транзисторы, L = 32 нм, W = 48 нм, коммутируют узлы хранения Store/StoreN к линиям Bit/BitN.</w:t>
      </w:r>
    </w:p>
    <w:p>
      <w:r>
        <w:rPr>
          <w:b w:val="0"/>
          <w:i w:val="0"/>
        </w:rPr>
        <w:t>Все транзисторы описаны индивидуальными .model-блоками по модели BSIM4 (LEVEL = 14) из библиотеки параметров PTM для технологии 32 нм. Ключевые параметры моделей: для NMOS – vth0 ≈ 0,53 В, u0 ≈ 0,036 м²/(В·с), toxe = 1,65 нм; для PMOS – |vth0| ≈ 0,46 В, u0 ≈ 0,0034 м²/(В·с), toxe = 1,75 нм.</w:t>
      </w:r>
    </w:p>
    <w:p>
      <w:r>
        <w:rPr>
          <w:b w:val="0"/>
          <w:i w:val="0"/>
        </w:rPr>
        <w:t>Временная диаграмма задается источниками импульсного напряжения: сигнал Word с периодом 1 нс (частота 1 ГГц), длительностью импульса 0,4 нс и фронтами 2 пс; сигналы Bit и BitN с периодом 2 нс обеспечивают чередование записи «0» и «1». Напряжение питания Vdd подается через узел N001 и в проведенных экспериментах варьировалось: 1,0 В; 1,2 В; 1,5 В.</w:t>
      </w:r>
    </w:p>
    <w:p>
      <w:pPr>
        <w:spacing w:before="120"/>
        <w:ind w:firstLine="0"/>
        <w:jc w:val="center"/>
      </w:pPr>
      <w:r>
        <w:rPr>
          <w:i/>
          <w:color w:val="707070"/>
        </w:rPr>
        <w:t>[МЕСТО ДЛЯ РИСУНКА: скриншот схемы из LTspice (.asc-файл): два кросс-связанных КМОП-инвертора в центре (M1/M3 слева, M2/M4 справа) с узлами Store и StoreN; два access-транзистора M5 и M6, подключенных от Store/StoreN к линиям Bit/BitN, с затворами на сигнале Word; источник напряжения Vdd, источники импульсов V1 (Bit), V3 (BitN), V4 (Word) с указанием параметров PULSE; директива .tran 0 5n 0 0.1n; ссылка .include SRAM_32nm_1GHz-1.inc.]</w:t>
      </w:r>
    </w:p>
    <w:p>
      <w:pPr>
        <w:spacing w:after="240"/>
        <w:ind w:firstLine="0"/>
        <w:jc w:val="center"/>
      </w:pPr>
      <w:r>
        <w:t>Рисунок 12 – Принципиальная схема исследуемой 6T SRAM-ячейки 32 нм в LTspice</w:t>
      </w:r>
    </w:p>
    <w:p>
      <w:pPr>
        <w:pStyle w:val="Heading3"/>
        <w:ind w:firstLine="0"/>
      </w:pPr>
      <w:r>
        <w:t>2.7.2 Извлечение netlist и идентификация транзисторов</w:t>
      </w:r>
    </w:p>
    <w:p>
      <w:r>
        <w:rPr>
          <w:b w:val="0"/>
          <w:i w:val="0"/>
        </w:rPr>
        <w:t>По команде View → SPICE Netlist в LTspice формируется текстовый netlist. Фрагмент netlist для NMOS access-транзистора M6 имеет вид:</w:t>
      </w:r>
    </w:p>
    <w:p>
      <w:pPr>
        <w:spacing w:before="120"/>
        <w:ind w:firstLine="0"/>
        <w:jc w:val="left"/>
      </w:pPr>
      <w:r>
        <w:rPr>
          <w:i/>
          <w:color w:val="707070"/>
        </w:rPr>
        <w:t>[МЕСТО ДЛЯ РИСУНКА: скриншот фрагмента сгенерированного LTspice netlist с описанием транзистора M6 и .model-блока nmos6. Текст:]</w:t>
      </w:r>
    </w:p>
    <w:p>
      <w:pPr>
        <w:spacing w:line="240" w:lineRule="auto"/>
        <w:ind w:firstLine="0" w:left="283"/>
      </w:pPr>
      <w:r>
        <w:rPr>
          <w:rFonts w:ascii="Consolas" w:hAnsi="Consolas"/>
          <w:i/>
          <w:color w:val="555555"/>
          <w:sz w:val="18"/>
        </w:rPr>
        <w:t>M6 StoreN Word BitN BitN NMOS6 l=32n w=48n ad=0.049e-13 as=0.049e-13</w:t>
      </w:r>
    </w:p>
    <w:p>
      <w:pPr>
        <w:spacing w:line="240" w:lineRule="auto"/>
        <w:ind w:firstLine="0" w:left="283"/>
      </w:pPr>
      <w:r>
        <w:rPr>
          <w:rFonts w:ascii="Consolas" w:hAnsi="Consolas"/>
          <w:i/>
          <w:color w:val="555555"/>
          <w:sz w:val="18"/>
        </w:rPr>
        <w:t>+ pd=0.3e-6 ps=0.3e-6 m=1</w:t>
      </w:r>
    </w:p>
    <w:p>
      <w:pPr>
        <w:spacing w:line="240" w:lineRule="auto"/>
        <w:ind w:firstLine="0" w:left="283"/>
      </w:pPr>
      <w:r>
        <w:rPr>
          <w:rFonts w:ascii="Consolas" w:hAnsi="Consolas"/>
          <w:i/>
          <w:color w:val="555555"/>
          <w:sz w:val="18"/>
        </w:rPr>
        <w:t>.model nmos6 nmos level=14 version=4.0 ... toxe=1.65e-9 ...</w:t>
      </w:r>
    </w:p>
    <w:p>
      <w:pPr>
        <w:spacing w:line="240" w:lineRule="auto"/>
        <w:ind w:firstLine="0" w:left="283"/>
      </w:pPr>
      <w:r>
        <w:rPr>
          <w:rFonts w:ascii="Consolas" w:hAnsi="Consolas"/>
          <w:i/>
          <w:color w:val="555555"/>
          <w:sz w:val="18"/>
        </w:rPr>
        <w:t>+ vth0=0.52968972</w:t>
      </w:r>
    </w:p>
    <w:p>
      <w:pPr>
        <w:spacing w:line="240" w:lineRule="auto"/>
        <w:ind w:firstLine="0" w:left="283"/>
      </w:pPr>
      <w:r>
        <w:rPr>
          <w:rFonts w:ascii="Consolas" w:hAnsi="Consolas"/>
          <w:i/>
          <w:color w:val="555555"/>
          <w:sz w:val="18"/>
        </w:rPr>
        <w:t>+ u0=0.0365071 ...</w:t>
      </w:r>
    </w:p>
    <w:p>
      <w:pPr>
        <w:spacing w:after="240"/>
        <w:ind w:firstLine="0"/>
        <w:jc w:val="center"/>
      </w:pPr>
      <w:r>
        <w:t>Рисунок 13 – Фрагмент SPICE-netlist для тестовой SRAM-ячейки 32 нм</w:t>
      </w:r>
    </w:p>
    <w:p>
      <w:r>
        <w:rPr>
          <w:b w:val="0"/>
          <w:i w:val="0"/>
        </w:rPr>
        <w:t>Разрабатываемое программное обеспечение корректно извлекает из такой строки все необходимые атрибуты: имя транзистора, тип (N/P), номера узлов D/G/S/B, длину L и ширину W. Из .model-блока считываются параметры toxe, vth0, u0 – именно они далее используются в расчетах деградации. Для тестовой схемы SRAM 32 нм подготавливаемые в LTspice netlist-файлы имеют формат, совместимый с парсером, в том числе при записи параметров toxe в формате toxe = 1.65e-9 с пробелами вокруг знака равенства, как принято в PTM-модельных картах BSIM4.</w:t>
      </w:r>
    </w:p>
    <w:p>
      <w:pPr>
        <w:pStyle w:val="Heading3"/>
        <w:ind w:firstLine="0"/>
      </w:pPr>
      <w:r>
        <w:t>2.7.3 Сгенерированный include-файл</w:t>
      </w:r>
    </w:p>
    <w:p>
      <w:r>
        <w:rPr>
          <w:b w:val="0"/>
          <w:i w:val="0"/>
        </w:rPr>
        <w:t>Для SRAM-ячейки программа автоматически генерирует include-файл, содержащий двадцать четыре SPICE-директивы:</w:t>
      </w:r>
    </w:p>
    <w:p>
      <w:pPr>
        <w:ind w:left="567" w:hanging="283"/>
        <w:jc w:val="both"/>
      </w:pPr>
      <w:r>
        <w:t>– для четырех NMOS-транзисторов M1, M2, M5, M6 – четыре B-источника тока горячих носителей и двенадцать .measure-директив (по три на транзистор: HCI_Mx, maxHCI_Mx, maxId_Mx);</w:t>
      </w:r>
    </w:p>
    <w:p>
      <w:pPr>
        <w:ind w:left="567" w:hanging="283"/>
        <w:jc w:val="both"/>
      </w:pPr>
      <w:r>
        <w:t>– для двух PMOS-транзисторов M3, M4 – четыре .measure-директивы (по две на транзистор: NBTIMx, maxNBTIMx).</w:t>
      </w:r>
    </w:p>
    <w:p>
      <w:r>
        <w:rPr>
          <w:b w:val="0"/>
          <w:i w:val="0"/>
        </w:rPr>
        <w:t>Подключение include-файла выполняется единственной строкой .include SRAM_32nm_1GHz-1.inc на схеме LTspice. Время симуляции выбрано равным 5 нс, что соответствует пяти периодам Word-сигнала и обеспечивает представительный набор циклов записи-чтения при расчете интегральных величин. Полное содержимое сгенерированного include-файла приведено в приложении А.</w:t>
      </w:r>
    </w:p>
    <w:p>
      <w:pPr>
        <w:pStyle w:val="Heading2"/>
        <w:ind w:firstLine="0"/>
      </w:pPr>
      <w:r>
        <w:t>2.8 Реализация интеграции с LTspice</w:t>
      </w:r>
    </w:p>
    <w:p>
      <w:r>
        <w:rPr>
          <w:b w:val="0"/>
          <w:i w:val="0"/>
        </w:rPr>
        <w:t>Интеграция программы с симулятором LTspice реализована в двух направлениях: запуск симулятора по запросу пользователя для удобства работы и формирование постаревшего netlist-файла, готового к повторному транзиентному расчету с учетом эффектов старения.</w:t>
      </w:r>
    </w:p>
    <w:p>
      <w:pPr>
        <w:pStyle w:val="Heading3"/>
        <w:ind w:firstLine="0"/>
      </w:pPr>
      <w:r>
        <w:t>2.8.1 Маршрут данных</w:t>
      </w:r>
    </w:p>
    <w:p>
      <w:r>
        <w:rPr>
          <w:b w:val="0"/>
          <w:i w:val="0"/>
        </w:rPr>
        <w:t>Интеграция реализована в два этапа. На первом этапе программа формирует include-файл с B-источниками тока (для NMOS) либо директивами .measure (для PMOS), а также измерительными директивами .measure tran. Пользователь добавляет на схему единственную строку вида .include &lt;путь&gt;.inc и запускает симуляцию LTspice. Результаты измерений автоматически попадают в Spice Error Log (.log-файл). На втором этапе программа считывает .log-файл, извлекает значения измерений и температуру, вычисляет по формулам (2)–(8) ΔVth и factor_u0 для каждого транзистора, категоризует транзисторы по степени деградации и формирует два выходных артефакта: файл models_aged.txt с измененными .model-блоками для каждой использованной категории и постаревший netlist _aged.cir, в котором имена моделей заменены на соответствующие категорийные (NMOS – NMOS1, NMOS2 или NMOS3).</w:t>
      </w:r>
    </w:p>
    <w:p>
      <w:pPr>
        <w:pStyle w:val="Heading3"/>
        <w:ind w:firstLine="0"/>
      </w:pPr>
      <w:r>
        <w:t>2.8.2 Запуск LTspice</w:t>
      </w:r>
    </w:p>
    <w:p>
      <w:r>
        <w:rPr>
          <w:b w:val="0"/>
          <w:i w:val="0"/>
        </w:rPr>
        <w:t>Модуль ltspice_locator.py реализует автоматический поиск исполняемого файла LTspice среди типовых путей установки на платформе Windows. В список поиска включены пути актуальной версии LTspice от Analog Devices, классической версии LTspiceXVII в каталогах x86 и x64, а также путь к локальной установке в профиле текущего пользователя. Найденный путь сохраняется в файле настроек программы и при последующих запусках используется без повторного поиска.</w:t>
      </w:r>
    </w:p>
    <w:p>
      <w:r>
        <w:rPr>
          <w:b w:val="0"/>
          <w:i w:val="0"/>
        </w:rPr>
        <w:t>Открытие схемы в LTspice выполняется средствами стандартного модуля subprocess через вызов Popen с передачей пути к исполняемому файлу LTspice и пути к открываемой схеме. Программа не ожидает завершения процесса симулятора и не считывает его выходной поток – пользователь работает с LTspice независимо, а затем возвращается в программу для подгрузки полученного Spice Error Log.</w:t>
      </w:r>
    </w:p>
    <w:p>
      <w:pPr>
        <w:pStyle w:val="Heading3"/>
        <w:ind w:firstLine="0"/>
      </w:pPr>
      <w:r>
        <w:t>2.8.3 Формирование постаревшего netlist</w:t>
      </w:r>
    </w:p>
    <w:p>
      <w:r>
        <w:rPr>
          <w:b w:val="0"/>
          <w:i w:val="0"/>
        </w:rPr>
        <w:t>Запись постаревшего netlist реализована в модуле netlist_writer.py и состоит из двух связанных операций. Первая операция – копирование исходного netlist с заменой имен моделей у выбранных транзисторов. Каждому транзистору в зависимости от рассчитанной степени деградации присваивается одно из четырех возможных имен модели: исходное имя при отсутствии деградации (нулевая категория), либо имя с суффиксом «1», «2» или «3» при низкой, средней или высокой степени деградации соответственно. Категория определяется функцией vth_category модуля aging.py.</w:t>
      </w:r>
    </w:p>
    <w:p>
      <w:r>
        <w:rPr>
          <w:b w:val="0"/>
          <w:i w:val="0"/>
        </w:rPr>
        <w:t>Вторая операция – формирование отдельного файла моделей models_aged.txt, в котором для каждой исходной модели создаются один или несколько вариантов с модифицированными значениями параметров vth0 и u0. Сдвиг порогового напряжения учитывается через мультипликатор, зависящий от категории деградации (1,0125; 1,0375; 1,0625 для категорий 1, 2, 3 соответственно). Снижение коэффициента подвижности рассчитывается из формулы compact-модели как функция от ΔVth и эффективной толщины подзатворного оксида и применяется в виде поправочного множителя к параметру u0.</w:t>
      </w:r>
    </w:p>
    <w:p>
      <w:r>
        <w:rPr>
          <w:b w:val="0"/>
          <w:i w:val="0"/>
        </w:rPr>
        <w:t>Связь между исходным netlist и файлом моделей обеспечивается заменой строки .lib в исходном файле на ссылку на models_aged.txt. На выходе модуля формируются два файла: netlist с суффиксом _aged.cir, содержащий описание схемы с постаревшими транзисторами, и файл моделей models_aged.txt со скорректированными параметрами.</w:t>
      </w:r>
    </w:p>
    <w:p>
      <w:pPr>
        <w:spacing w:before="120"/>
        <w:ind w:firstLine="0"/>
        <w:jc w:val="center"/>
      </w:pPr>
      <w:r>
        <w:rPr>
          <w:i/>
          <w:color w:val="707070"/>
        </w:rPr>
        <w:t>[МЕСТО ДЛЯ РИСУНКА: скриншот текстового файла models_aged.txt, в котором видны измененные имена моделей (например, NMOS1, NMOS3, PMOS3) и скорректированные значения vth0 и u0 в .model-блоках по сравнению с исходной библиотекой PTM.]</w:t>
      </w:r>
    </w:p>
    <w:p>
      <w:pPr>
        <w:spacing w:after="240"/>
        <w:ind w:firstLine="0"/>
        <w:jc w:val="center"/>
      </w:pPr>
      <w:r>
        <w:t>Рисунок 14 – Фрагмент сформированного файла models_aged.txt с постаревшими блоками .model</w:t>
      </w:r>
    </w:p>
    <w:p>
      <w:r>
        <w:rPr>
          <w:b w:val="0"/>
          <w:i w:val="0"/>
        </w:rPr>
        <w:t>Полученные файлы открываются пользователем в LTspice и используются для повторного транзиентного расчета схемы с учетом деградации, вызванной эффектами старения за заданный срок службы. Сравнение результатов исходного и повторного расчетов позволяет оценить изменение функциональных характеристик схемы – задержек переключения, амплитуд сигналов и крутизны фронтов.</w:t>
      </w:r>
    </w:p>
    <w:p>
      <w:pPr>
        <w:pStyle w:val="Heading3"/>
        <w:ind w:firstLine="0"/>
      </w:pPr>
      <w:r>
        <w:t>2.8.4 Температурный пересчет</w:t>
      </w:r>
    </w:p>
    <w:p>
      <w:r>
        <w:rPr>
          <w:b w:val="0"/>
          <w:i w:val="0"/>
        </w:rPr>
        <w:t>Программа поддерживает дополнительный пересчет результатов при изменении температуры с использованием двух разных физических механизмов. Для NMOS (HCI) применяется фактор Аррениуса: интегральная величина тока горячих носителей умножается на множитель factor = 10·exp(−E_a/(k_B·T_new)), где E_a = 9,6·10⁻²¹ Дж – энергия активации эффекта генерации интерфейсных состояний. Для PMOS (NBTI) выполняется полный пересчет коэффициента Kv по формуле (6) при новой температуре T_new. Реализация температурного пересчета содержится в модуле core/temperature_analysis.py и используется на пятом шаге мастера через кнопку «Анализ температурного влияния». Численная проверка корректности обоих механизмов приведена в разделе 3.</w:t>
      </w:r>
    </w:p>
    <w:p>
      <w:pPr>
        <w:pStyle w:val="Heading1"/>
        <w:pageBreakBefore/>
        <w:ind w:firstLine="0"/>
      </w:pPr>
      <w:r>
        <w:t>3 ВЕРИФИКАЦИЯ И ВАЛИДАЦИЯ МОДЕЛИ СТАРЕНИЯ</w:t>
      </w:r>
    </w:p>
    <w:p>
      <w:r>
        <w:rPr>
          <w:b w:val="0"/>
          <w:i w:val="0"/>
        </w:rPr>
        <w:t>Раздел посвящён проверке корректности реализованной математической модели и подтверждению её применимости для решения прикладных задач aging-aware SPICE-моделирования. Под верификацией здесь понимается проверка того, что программа правильно реализует заявленные формулы и алгоритмы – размерности согласованы, граничные случаи обрабатываются предсказуемо, численные результаты воспроизводимы. Под валидацией – проверка того, что получаемые программой значения деградации согласуются с физическими ожиданиями и литературными данными по нанометровым МОП-транзисторам. Для проведения экспериментов использована описанная в подразделе 2.7 ячейка 6T SRAM по технологической норме 32 нм; варьировались напряжение питания и температура.</w:t>
      </w:r>
    </w:p>
    <w:p>
      <w:pPr>
        <w:pStyle w:val="Heading2"/>
        <w:ind w:firstLine="0"/>
      </w:pPr>
      <w:r>
        <w:t>3.1 Верификация реализованных моделей</w:t>
      </w:r>
    </w:p>
    <w:p>
      <w:pPr>
        <w:pStyle w:val="Heading3"/>
        <w:ind w:firstLine="0"/>
      </w:pPr>
      <w:r>
        <w:t>3.1.1 Размерный анализ</w:t>
      </w:r>
    </w:p>
    <w:p>
      <w:r>
        <w:rPr>
          <w:b w:val="0"/>
          <w:i w:val="0"/>
        </w:rPr>
        <w:t>Для уверенности в корректности формул выполнена проверка размерностей входящих в них величин. Для формулы тока ударной ионизации (формула (1) в подразделе 2.4) сомножитель Id имеет размерность А, выражение (1/L_нм)^2,5 безразмерно, экспоненциальные сомножители безразмерны; коэффициент 10⁻⁵ – эмпирический безразмерный. Размерность результата – А, что соответствует ожидаемому току источника B.</w:t>
      </w:r>
    </w:p>
    <w:p>
      <w:r>
        <w:rPr>
          <w:b w:val="0"/>
          <w:i w:val="0"/>
        </w:rPr>
        <w:t>Для аргумента степенной формулы (4) расчёта ΔVth_HCI размерности слагаемых: [Id_max/W] = А/м; [(max_hci/Id_max)^m] = безразмерное; [t_life · ratio] = с. Произведение даёт А·с/м. После возведения в степень 0,27 размерность аргумента переводится в вольты с эмпирически подобранными коэффициентами (c₂₂ = 0,22 и множителем 1,3), что соответствует физическому смыслу ΔVth.</w:t>
      </w:r>
    </w:p>
    <w:p>
      <w:r>
        <w:rPr>
          <w:b w:val="0"/>
          <w:i w:val="0"/>
        </w:rPr>
        <w:t>Для формулы (6) расчёта Kv NBTI сомножитель (tox·q/ε_ox)³ имеет размерность В³ (куб напряжения на одном слое оксида); (10²⁶)² – м⁻⁴ (квадрат плотности связей Si–H, м⁻²); Cox – Ф/м² = Кл/(В·м²); (|Vsg·Vdg|_max − |Vth|) – В; √exp(−E_a/(k_B·T)) – безразмерное; exp(2·ΔV·0,355·10⁹) – безразмерное при tox в метрах. Произведение даёт размерность В³·м⁻⁴·Кл/В·м²·В = Кл/м² · В³·В · В = Кл·В²/м², что после возведения в степень 1/3 в формуле (7) с учётом √(ratio · t_life) даёт размерность вольта. Размерности обоих расчётов согласованы.</w:t>
      </w:r>
    </w:p>
    <w:p>
      <w:pPr>
        <w:pStyle w:val="Heading3"/>
        <w:ind w:firstLine="0"/>
      </w:pPr>
      <w:r>
        <w:t>3.1.2 Проверка граничных случаев</w:t>
      </w:r>
    </w:p>
    <w:p>
      <w:r>
        <w:rPr>
          <w:b w:val="0"/>
          <w:i w:val="0"/>
        </w:rPr>
        <w:t>Реализованный код проверен на корректную обработку граничных значений входных данных. При отсутствии некоторых измерений в .log-файле (например, если симуляция была прервана и .measure tran не успели выполниться) функции calculate_hci и calculate_nbti возвращают результат с нулевым ΔVth и единичным factor_u0 без аварийного завершения программы. При нулевом времени симуляции, нулевом значении максимального тока стока или нулевой ширине канала функции корректно выходят с результатом «деградация отсутствует». При получении в формуле NBTI отрицательного аргумента (что физически означает отсутствие условий для деградации) результат обнуляется. Ни один из перечисленных сценариев не вызывает деления на ноль или иных численных исключений.</w:t>
      </w:r>
    </w:p>
    <w:p>
      <w:pPr>
        <w:pStyle w:val="Heading3"/>
        <w:ind w:firstLine="0"/>
      </w:pPr>
      <w:r>
        <w:t>3.1.3 Воспроизводимость расчётов</w:t>
      </w:r>
    </w:p>
    <w:p>
      <w:r>
        <w:rPr>
          <w:b w:val="0"/>
          <w:i w:val="0"/>
        </w:rPr>
        <w:t>Для подтверждения детерминированности алгоритма расчёт деградации был выполнен пятикратно для идентичного набора входных файлов (netlist SRAM_32nm_1GHz и .log-файл, полученный при Vdd = 1,5 В). Все пять прогонов дали идентичные значения ΔVth и factor_u0 с точностью до пятнадцатого значащего разряда, что соответствует стандартной точности арифметики IEEE 754 double и подтверждает отсутствие в коде источников недетерминированности (например, неинициализированных переменных или обращений к псевдослучайным данным).</w:t>
      </w:r>
    </w:p>
    <w:p>
      <w:pPr>
        <w:pStyle w:val="Heading2"/>
        <w:ind w:firstLine="0"/>
      </w:pPr>
      <w:r>
        <w:t>3.2 Валидация модели по напряжению питания</w:t>
      </w:r>
    </w:p>
    <w:p>
      <w:r>
        <w:rPr>
          <w:b w:val="0"/>
          <w:i w:val="0"/>
        </w:rPr>
        <w:t>Для валидации модели проведена серия из трёх экспериментов на ячейке 6T SRAM по технологической норме 32 нм при варьировании напряжения питания: 1,0 В (номинал технологии); 1,2 В; 1,5 В (overdrive). Остальные параметры эксперимента сохранялись неизменными: температура T = 27 °C, длительность симуляции t_sim = 5 нс (соответствует пяти периодам управляющего сигнала Word), заданный пользователем срок службы 10 лет. Ожидаемое физическое поведение состоит в монотонном росте ΔVth с увеличением напряжения питания, причём для NMOS-транзисторов рост определяется экспоненциальной зависимостью тока ударной ионизации от V_DS и V_DG в формуле (1), а для PMOS-транзисторов – ростом V_sg, входящего в выражения для Kv и интеграл modulus|V_sg|.</w:t>
      </w:r>
    </w:p>
    <w:p>
      <w:pPr>
        <w:pStyle w:val="Heading3"/>
        <w:ind w:firstLine="0"/>
      </w:pPr>
      <w:r>
        <w:t>3.2.1 Сводные результаты экспериментов</w:t>
      </w:r>
    </w:p>
    <w:p>
      <w:r>
        <w:rPr>
          <w:b w:val="0"/>
          <w:i w:val="0"/>
        </w:rPr>
        <w:t>Извлечённые из HTML-отчётов программы значения сдвига порогового напряжения для всех шести транзисторов SRAM-ячейки при трёх значениях напряжения питания приведены в таблице 4.</w:t>
      </w:r>
    </w:p>
    <w:p>
      <w:pPr>
        <w:spacing w:before="120"/>
        <w:ind w:firstLine="0"/>
        <w:jc w:val="left"/>
      </w:pPr>
      <w:r>
        <w:t>Таблица 4 – Сдвиг порогового напряжения ΔVth для транзисторов SRAM-ячейки 32 нм при различных напряжениях питания (T = 27 °C, срок службы 10 лет)</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Транзистор</w:t>
            </w:r>
          </w:p>
        </w:tc>
        <w:tc>
          <w:tcPr>
            <w:tcW w:type="dxa" w:w="1871"/>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Тип</w:t>
            </w:r>
          </w:p>
        </w:tc>
        <w:tc>
          <w:tcPr>
            <w:tcW w:type="dxa" w:w="1871"/>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ΔVth, мВ</w:t>
              <w:br/>
              <w:t>(Vdd = 1,0 В)</w:t>
            </w:r>
          </w:p>
        </w:tc>
        <w:tc>
          <w:tcPr>
            <w:tcW w:type="dxa" w:w="1871"/>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ΔVth, мВ</w:t>
              <w:br/>
              <w:t>(Vdd = 1,2 В)</w:t>
            </w:r>
          </w:p>
        </w:tc>
        <w:tc>
          <w:tcPr>
            <w:tcW w:type="dxa" w:w="1871"/>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ΔVth, мВ</w:t>
              <w:br/>
              <w:t>(Vdd = 1,5 В)</w:t>
            </w:r>
          </w:p>
        </w:tc>
      </w:tr>
      <w:tr>
        <w:tc>
          <w:tcPr>
            <w:tcW w:type="dxa" w:w="1871"/>
            <w:tcBorders>
              <w:top w:val="single" w:sz="4" w:color="000000"/>
              <w:left w:val="single" w:sz="4" w:color="000000"/>
              <w:bottom w:val="single" w:sz="4" w:color="000000"/>
              <w:right w:val="single" w:sz="4" w:color="000000"/>
            </w:tcBorders>
          </w:tcPr>
          <w:p>
            <w:pPr>
              <w:ind w:firstLine="0"/>
              <w:jc w:val="center"/>
            </w:pPr>
            <w:r/>
            <w:r>
              <w:rPr>
                <w:sz w:val="22"/>
              </w:rPr>
              <w:t>M1</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NMOS</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22,76</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43,62</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116,65</w:t>
            </w:r>
          </w:p>
        </w:tc>
      </w:tr>
      <w:tr>
        <w:tc>
          <w:tcPr>
            <w:tcW w:type="dxa" w:w="1871"/>
            <w:tcBorders>
              <w:top w:val="single" w:sz="4" w:color="000000"/>
              <w:left w:val="single" w:sz="4" w:color="000000"/>
              <w:bottom w:val="single" w:sz="4" w:color="000000"/>
              <w:right w:val="single" w:sz="4" w:color="000000"/>
            </w:tcBorders>
          </w:tcPr>
          <w:p>
            <w:pPr>
              <w:ind w:firstLine="0"/>
              <w:jc w:val="center"/>
            </w:pPr>
            <w:r/>
            <w:r>
              <w:rPr>
                <w:sz w:val="22"/>
              </w:rPr>
              <w:t>M2</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NMOS</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14,75</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24,31</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68,90</w:t>
            </w:r>
          </w:p>
        </w:tc>
      </w:tr>
      <w:tr>
        <w:tc>
          <w:tcPr>
            <w:tcW w:type="dxa" w:w="1871"/>
            <w:tcBorders>
              <w:top w:val="single" w:sz="4" w:color="000000"/>
              <w:left w:val="single" w:sz="4" w:color="000000"/>
              <w:bottom w:val="single" w:sz="4" w:color="000000"/>
              <w:right w:val="single" w:sz="4" w:color="000000"/>
            </w:tcBorders>
          </w:tcPr>
          <w:p>
            <w:pPr>
              <w:ind w:firstLine="0"/>
              <w:jc w:val="center"/>
            </w:pPr>
            <w:r/>
            <w:r>
              <w:rPr>
                <w:sz w:val="22"/>
              </w:rPr>
              <w:t>M5</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NMOS</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0,91</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1,00</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1,60</w:t>
            </w:r>
          </w:p>
        </w:tc>
      </w:tr>
      <w:tr>
        <w:tc>
          <w:tcPr>
            <w:tcW w:type="dxa" w:w="1871"/>
            <w:tcBorders>
              <w:top w:val="single" w:sz="4" w:color="000000"/>
              <w:left w:val="single" w:sz="4" w:color="000000"/>
              <w:bottom w:val="single" w:sz="4" w:color="000000"/>
              <w:right w:val="single" w:sz="4" w:color="000000"/>
            </w:tcBorders>
          </w:tcPr>
          <w:p>
            <w:pPr>
              <w:ind w:firstLine="0"/>
              <w:jc w:val="center"/>
            </w:pPr>
            <w:r/>
            <w:r>
              <w:rPr>
                <w:sz w:val="22"/>
              </w:rPr>
              <w:t>M6</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NMOS</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17,38</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30,59</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69,99</w:t>
            </w:r>
          </w:p>
        </w:tc>
      </w:tr>
      <w:tr>
        <w:tc>
          <w:tcPr>
            <w:tcW w:type="dxa" w:w="1871"/>
            <w:tcBorders>
              <w:top w:val="single" w:sz="4" w:color="000000"/>
              <w:left w:val="single" w:sz="4" w:color="000000"/>
              <w:bottom w:val="single" w:sz="4" w:color="000000"/>
              <w:right w:val="single" w:sz="4" w:color="000000"/>
            </w:tcBorders>
          </w:tcPr>
          <w:p>
            <w:pPr>
              <w:ind w:firstLine="0"/>
              <w:jc w:val="center"/>
            </w:pPr>
            <w:r/>
            <w:r>
              <w:rPr>
                <w:sz w:val="22"/>
              </w:rPr>
              <w:t>M3</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PMOS</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9,38</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17,53</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49,30</w:t>
            </w:r>
          </w:p>
        </w:tc>
      </w:tr>
      <w:tr>
        <w:tc>
          <w:tcPr>
            <w:tcW w:type="dxa" w:w="1871"/>
            <w:tcBorders>
              <w:top w:val="single" w:sz="4" w:color="000000"/>
              <w:left w:val="single" w:sz="4" w:color="000000"/>
              <w:bottom w:val="single" w:sz="4" w:color="000000"/>
              <w:right w:val="single" w:sz="4" w:color="000000"/>
            </w:tcBorders>
          </w:tcPr>
          <w:p>
            <w:pPr>
              <w:ind w:firstLine="0"/>
              <w:jc w:val="center"/>
            </w:pPr>
            <w:r/>
            <w:r>
              <w:rPr>
                <w:sz w:val="22"/>
              </w:rPr>
              <w:t>M4</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PMOS</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14,26</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26,66</w:t>
            </w:r>
          </w:p>
        </w:tc>
        <w:tc>
          <w:tcPr>
            <w:tcW w:type="dxa" w:w="1871"/>
            <w:tcBorders>
              <w:top w:val="single" w:sz="4" w:color="000000"/>
              <w:left w:val="single" w:sz="4" w:color="000000"/>
              <w:bottom w:val="single" w:sz="4" w:color="000000"/>
              <w:right w:val="single" w:sz="4" w:color="000000"/>
            </w:tcBorders>
          </w:tcPr>
          <w:p>
            <w:pPr>
              <w:ind w:firstLine="0"/>
              <w:jc w:val="center"/>
            </w:pPr>
            <w:r/>
            <w:r>
              <w:rPr>
                <w:sz w:val="22"/>
              </w:rPr>
              <w:t>72,58</w:t>
            </w:r>
          </w:p>
        </w:tc>
      </w:tr>
    </w:tbl>
    <w:p>
      <w:pPr>
        <w:spacing w:after="120"/>
      </w:pPr>
    </w:p>
    <w:p>
      <w:pPr>
        <w:spacing w:before="120"/>
        <w:ind w:firstLine="0"/>
        <w:jc w:val="center"/>
      </w:pPr>
      <w:r>
        <w:rPr>
          <w:i/>
          <w:color w:val="707070"/>
        </w:rPr>
        <w:t>[МЕСТО ДЛЯ РИСУНКА: график зависимости ΔVth (по оси Y, в мВ, в диапазоне 0–120) от напряжения питания Vdd (по оси X, в вольтах, три точки: 1,0; 1,2; 1,5). На графике шесть кривых для транзисторов M1–M6: M1 (NMOS) растёт круче всех – с 22,8 до 116,7 мВ; M4 (PMOS) и M2 (NMOS) идут рядом, примерно с 14 до 70 мВ; M6 (NMOS) и M3 (PMOS) – промежуточно; M5 (NMOS) – почти горизонтальная линия около 1 мВ. Кривые подписаны по типам канала разными цветами (NMOS – синие оттенки, PMOS – фиолетовые).]</w:t>
      </w:r>
    </w:p>
    <w:p>
      <w:pPr>
        <w:spacing w:after="240"/>
        <w:ind w:firstLine="0"/>
        <w:jc w:val="center"/>
      </w:pPr>
      <w:r>
        <w:t>Рисунок 15 – Зависимость ΔVth транзисторов SRAM-ячейки 32 нм от напряжения питания</w:t>
      </w:r>
    </w:p>
    <w:p>
      <w:pPr>
        <w:pStyle w:val="Heading3"/>
        <w:ind w:firstLine="0"/>
      </w:pPr>
      <w:r>
        <w:t>3.2.2 Анализ зависимости от напряжения</w:t>
      </w:r>
    </w:p>
    <w:p>
      <w:r>
        <w:rPr>
          <w:b w:val="0"/>
          <w:i w:val="0"/>
        </w:rPr>
        <w:t>Полученные результаты подтверждают физически ожидаемое монотонное возрастание деградации с ростом напряжения питания для каждого транзистора. Расчёт относительного роста ΔVth при переходе от 1,0 В к 1,5 В даёт следующие значения: M1 – рост в 5,1 раза, M2 – в 4,7 раза, M6 – в 4,0 раза, M5 – в 1,8 раза (существенно меньше, поскольку M5 не успевает переключиться за время симуляции и его ΔVth остаётся в диапазоне единиц мВ). Для PMOS наблюдается рост в 5,3 раза для M3 и в 5,1 раза для M4. Сильнее всего деградирует transistor M1, что физически соответствует его роли pull-down NMOS в инверторе, удерживающем узел Store в состоянии «0» при максимальном напряжении на стоке.</w:t>
      </w:r>
    </w:p>
    <w:p>
      <w:r>
        <w:rPr>
          <w:b w:val="0"/>
          <w:i w:val="0"/>
        </w:rPr>
        <w:t>Полученные численные значения ΔVth для NMOS согласуются с порядком величин, приводимым в литературе: для технологий 32 нм при типовых рабочих напряжениях деградация по механизму HCI за 10 лет находится в диапазоне десятков милливольт для типовых режимов и до сотен милливольт в режимах с overdrive [4,12]. Полученные программой значения (15–117 мВ для M1, M2, M6 в диапазоне 1,0–1,5 В) попадают в указанный диапазон.</w:t>
      </w:r>
    </w:p>
    <w:p>
      <w:r>
        <w:rPr>
          <w:b w:val="0"/>
          <w:i w:val="0"/>
        </w:rPr>
        <w:t>Для PMOS-транзисторов M3 и M4 наблюдаемые величины 9–73 мВ за 10 лет также соответствуют ожиданиям для NBTI-деградации в технологии 32 нм. Согласно литературе [3,11], для PMOS-транзисторов с high-k/metal gate при умеренных рабочих напряжениях NBTI-деградация в течение 10 лет составляет единицы–десятки милливольт для номинальных режимов и достигает 100 мВ в режимах overdrive. Транзистор M4 деградирует сильнее M3, что соответствует различию в активном времени NBTI: M4 удерживает узел StoreN в состоянии «1» 91 % времени симуляции, тогда как M3 – только 8 %.</w:t>
      </w:r>
    </w:p>
    <w:p>
      <w:pPr>
        <w:pStyle w:val="Heading3"/>
        <w:ind w:firstLine="0"/>
      </w:pPr>
      <w:r>
        <w:t>3.2.3 Соответствие законам compact-моделей</w:t>
      </w:r>
    </w:p>
    <w:p>
      <w:r>
        <w:rPr>
          <w:b w:val="0"/>
          <w:i w:val="0"/>
        </w:rPr>
        <w:t>Проверена согласованность полученных результатов с аналитическими зависимостями compact-моделей. Для NMOS-транзистора M1 при увеличении напряжения питания с 1,0 до 1,2 В относительный рост ΔVth составил 1,92; при увеличении с 1,2 до 1,5 В – 2,67. По формуле (4) с учётом экспоненциальной зависимости тока ударной ионизации от V_DS и V_DG в (1) ожидается степенная зависимость с показателем, превышающим 4. Полученное соотношение ΔVth(1,5) / ΔVth(1,0) = 5,1 для M1 и 4,7 для M2 согласуется с указанной оценкой и подтверждает корректность экспоненциальной аппроксимации тока ударной ионизации.</w:t>
      </w:r>
    </w:p>
    <w:p>
      <w:r>
        <w:rPr>
          <w:b w:val="0"/>
          <w:i w:val="0"/>
        </w:rPr>
        <w:t>Для PMOS-транзистора M4 рост ΔVth при увеличении V_dd с 1,0 до 1,5 В составил 5,1 раза, что соответствует кубической зависимости в формуле (6) для Kv через сомножитель (tox·q/ε_ox)³ – основной фактор зависимости от напряжения. Кубическая оценка (1,5 / 1,0)³ = 3,375 даёт нижнюю границу; дополнительный вклад (примерно 1,5×) обеспечивает экспоненциальный сомножитель exp(2·ΔV/(tox·0,355·10⁹)). Произведение 3,375 × 1,5 ≈ 5,06 ≈ 5,1, что соответствует измеренному значению.</w:t>
      </w:r>
    </w:p>
    <w:p>
      <w:pPr>
        <w:pStyle w:val="Heading2"/>
        <w:ind w:firstLine="0"/>
      </w:pPr>
      <w:r>
        <w:t>3.3 Валидация температурной зависимости модели</w:t>
      </w:r>
    </w:p>
    <w:p>
      <w:r>
        <w:rPr>
          <w:b w:val="0"/>
          <w:i w:val="0"/>
        </w:rPr>
        <w:t>Для проверки корректности температурного пересчёта, реализованного в модуле core/temperature_analysis.py, выполнен дополнительный эксперимент: для базового случая Vdd = 1,5 В выполнен пересчёт деградации при температуре T_new = 100 °C (373 К) и сопоставлен с базовым результатом T₀ = 27 °C (300 К). Используются два разных физических механизма температурной зависимости: для NMOS – фактор Аррениуса 10·exp(−E_a/(k_B·T_new)) с E_a = 9,6·10⁻²¹ Дж, умножающий интеграл тока ударной ионизации; для PMOS – полный пересчёт коэффициента Kv по формуле (6) с подстановкой новой температуры в термоактивационный член.</w:t>
      </w:r>
    </w:p>
    <w:p>
      <w:r>
        <w:rPr>
          <w:b w:val="0"/>
          <w:i w:val="0"/>
        </w:rPr>
        <w:t>Сводные результаты температурного анализа приведены в таблице 5.</w:t>
      </w:r>
    </w:p>
    <w:p>
      <w:pPr>
        <w:spacing w:before="120"/>
        <w:ind w:firstLine="0"/>
        <w:jc w:val="left"/>
      </w:pPr>
      <w:r>
        <w:t>Таблица 5 – Температурная зависимость ΔVth для транзисторов SRAM-ячейки 32 нм (Vdd = 1,5 В, срок службы 10 лет)</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Транзистор</w:t>
            </w:r>
          </w:p>
        </w:tc>
        <w:tc>
          <w:tcPr>
            <w:tcW w:type="dxa" w:w="1559"/>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Тип</w:t>
            </w:r>
          </w:p>
        </w:tc>
        <w:tc>
          <w:tcPr>
            <w:tcW w:type="dxa" w:w="1559"/>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ΔVth, мВ</w:t>
              <w:br/>
              <w:t>(T = 27 °C)</w:t>
            </w:r>
          </w:p>
        </w:tc>
        <w:tc>
          <w:tcPr>
            <w:tcW w:type="dxa" w:w="1559"/>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ΔVth, мВ</w:t>
              <w:br/>
              <w:t>(T = 100 °C)</w:t>
            </w:r>
          </w:p>
        </w:tc>
        <w:tc>
          <w:tcPr>
            <w:tcW w:type="dxa" w:w="1559"/>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Δ(ΔVth), мВ</w:t>
            </w:r>
          </w:p>
        </w:tc>
        <w:tc>
          <w:tcPr>
            <w:tcW w:type="dxa" w:w="1559"/>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Тенденция</w:t>
            </w:r>
          </w:p>
        </w:tc>
      </w:tr>
      <w:tr>
        <w:tc>
          <w:tcPr>
            <w:tcW w:type="dxa" w:w="1559"/>
            <w:tcBorders>
              <w:top w:val="single" w:sz="4" w:color="000000"/>
              <w:left w:val="single" w:sz="4" w:color="000000"/>
              <w:bottom w:val="single" w:sz="4" w:color="000000"/>
              <w:right w:val="single" w:sz="4" w:color="000000"/>
            </w:tcBorders>
          </w:tcPr>
          <w:p>
            <w:pPr>
              <w:ind w:firstLine="0"/>
              <w:jc w:val="center"/>
            </w:pPr>
            <w:r/>
            <w:r>
              <w:rPr>
                <w:sz w:val="22"/>
              </w:rPr>
              <w:t>M1</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NMOS</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116,7</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108,6</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−8,1</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Снижение</w:t>
            </w:r>
          </w:p>
        </w:tc>
      </w:tr>
      <w:tr>
        <w:tc>
          <w:tcPr>
            <w:tcW w:type="dxa" w:w="1559"/>
            <w:tcBorders>
              <w:top w:val="single" w:sz="4" w:color="000000"/>
              <w:left w:val="single" w:sz="4" w:color="000000"/>
              <w:bottom w:val="single" w:sz="4" w:color="000000"/>
              <w:right w:val="single" w:sz="4" w:color="000000"/>
            </w:tcBorders>
          </w:tcPr>
          <w:p>
            <w:pPr>
              <w:ind w:firstLine="0"/>
              <w:jc w:val="center"/>
            </w:pPr>
            <w:r/>
            <w:r>
              <w:rPr>
                <w:sz w:val="22"/>
              </w:rPr>
              <w:t>M2</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NMOS</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68,9</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64,1</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−4,8</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Снижение</w:t>
            </w:r>
          </w:p>
        </w:tc>
      </w:tr>
      <w:tr>
        <w:tc>
          <w:tcPr>
            <w:tcW w:type="dxa" w:w="1559"/>
            <w:tcBorders>
              <w:top w:val="single" w:sz="4" w:color="000000"/>
              <w:left w:val="single" w:sz="4" w:color="000000"/>
              <w:bottom w:val="single" w:sz="4" w:color="000000"/>
              <w:right w:val="single" w:sz="4" w:color="000000"/>
            </w:tcBorders>
          </w:tcPr>
          <w:p>
            <w:pPr>
              <w:ind w:firstLine="0"/>
              <w:jc w:val="center"/>
            </w:pPr>
            <w:r/>
            <w:r>
              <w:rPr>
                <w:sz w:val="22"/>
              </w:rPr>
              <w:t>M5</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NMOS</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1,60</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1,49</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−0,11</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Снижение</w:t>
            </w:r>
          </w:p>
        </w:tc>
      </w:tr>
      <w:tr>
        <w:tc>
          <w:tcPr>
            <w:tcW w:type="dxa" w:w="1559"/>
            <w:tcBorders>
              <w:top w:val="single" w:sz="4" w:color="000000"/>
              <w:left w:val="single" w:sz="4" w:color="000000"/>
              <w:bottom w:val="single" w:sz="4" w:color="000000"/>
              <w:right w:val="single" w:sz="4" w:color="000000"/>
            </w:tcBorders>
          </w:tcPr>
          <w:p>
            <w:pPr>
              <w:ind w:firstLine="0"/>
              <w:jc w:val="center"/>
            </w:pPr>
            <w:r/>
            <w:r>
              <w:rPr>
                <w:sz w:val="22"/>
              </w:rPr>
              <w:t>M6</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NMOS</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70,0</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65,1</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−4,9</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Снижение</w:t>
            </w:r>
          </w:p>
        </w:tc>
      </w:tr>
      <w:tr>
        <w:tc>
          <w:tcPr>
            <w:tcW w:type="dxa" w:w="1559"/>
            <w:tcBorders>
              <w:top w:val="single" w:sz="4" w:color="000000"/>
              <w:left w:val="single" w:sz="4" w:color="000000"/>
              <w:bottom w:val="single" w:sz="4" w:color="000000"/>
              <w:right w:val="single" w:sz="4" w:color="000000"/>
            </w:tcBorders>
          </w:tcPr>
          <w:p>
            <w:pPr>
              <w:ind w:firstLine="0"/>
              <w:jc w:val="center"/>
            </w:pPr>
            <w:r/>
            <w:r>
              <w:rPr>
                <w:sz w:val="22"/>
              </w:rPr>
              <w:t>M3</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PMOS</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49,3</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69,8</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+20,5</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Рост</w:t>
            </w:r>
          </w:p>
        </w:tc>
      </w:tr>
      <w:tr>
        <w:tc>
          <w:tcPr>
            <w:tcW w:type="dxa" w:w="1559"/>
            <w:tcBorders>
              <w:top w:val="single" w:sz="4" w:color="000000"/>
              <w:left w:val="single" w:sz="4" w:color="000000"/>
              <w:bottom w:val="single" w:sz="4" w:color="000000"/>
              <w:right w:val="single" w:sz="4" w:color="000000"/>
            </w:tcBorders>
          </w:tcPr>
          <w:p>
            <w:pPr>
              <w:ind w:firstLine="0"/>
              <w:jc w:val="center"/>
            </w:pPr>
            <w:r/>
            <w:r>
              <w:rPr>
                <w:sz w:val="22"/>
              </w:rPr>
              <w:t>M4</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PMOS</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72,6</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102,7</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+30,1</w:t>
            </w:r>
          </w:p>
        </w:tc>
        <w:tc>
          <w:tcPr>
            <w:tcW w:type="dxa" w:w="1559"/>
            <w:tcBorders>
              <w:top w:val="single" w:sz="4" w:color="000000"/>
              <w:left w:val="single" w:sz="4" w:color="000000"/>
              <w:bottom w:val="single" w:sz="4" w:color="000000"/>
              <w:right w:val="single" w:sz="4" w:color="000000"/>
            </w:tcBorders>
          </w:tcPr>
          <w:p>
            <w:pPr>
              <w:ind w:firstLine="0"/>
              <w:jc w:val="center"/>
            </w:pPr>
            <w:r/>
            <w:r>
              <w:rPr>
                <w:sz w:val="22"/>
              </w:rPr>
              <w:t>Рост</w:t>
            </w:r>
          </w:p>
        </w:tc>
      </w:tr>
    </w:tbl>
    <w:p>
      <w:pPr>
        <w:spacing w:after="120"/>
      </w:pPr>
    </w:p>
    <w:p>
      <w:r>
        <w:rPr>
          <w:b w:val="0"/>
          <w:i w:val="0"/>
        </w:rPr>
        <w:t>Полученные результаты демонстрируют разнонаправленное температурное поведение для двух механизмов деградации, что согласуется с физическими представлениями. Для NMOS-транзисторов с ростом температуры деградация по механизму HCI несколько снижается, что физически объясняется уменьшением длины свободного пробега носителей при усилении фононного рассеяния и согласуется с известным эффектом ослабления HCI при повышении температуры для длинноканальных и короткоканальных приборов в умеренных режимах [4,15,16].</w:t>
      </w:r>
    </w:p>
    <w:p>
      <w:r>
        <w:rPr>
          <w:b w:val="0"/>
          <w:i w:val="0"/>
        </w:rPr>
        <w:t>Для PMOS-транзисторов температурный пересчёт даёт обратную тенденцию: ΔVth_NBTI при T = 100 °C оказывается на 30–40 % выше, чем при T = 27 °C. Указанный рост обусловлен термоактивационным членом √exp(−E_a/(k_B·T)) в формуле (6) для коэффициента Kv, который физически отражает ускорение диссоциации связей Si–H при повышении температуры. Полученная тенденция соответствует общепринятому представлению о NBTI как термоактивированном процессе с положительным температурным коэффициентом [3,11,28].</w:t>
      </w:r>
    </w:p>
    <w:p>
      <w:pPr>
        <w:spacing w:before="120"/>
        <w:ind w:firstLine="0"/>
        <w:jc w:val="center"/>
      </w:pPr>
      <w:r>
        <w:rPr>
          <w:i/>
          <w:color w:val="707070"/>
        </w:rPr>
        <w:t>[МЕСТО ДЛЯ РИСУНКА: два графика рядом. Левый – ΔVth NMOS-транзисторов (M1, M2, M6) от температуры (две точки: 27 °C и 100 °C); видно лёгкое снижение ΔVth с ростом T. Правый – ΔVth PMOS-транзисторов (M3, M4) от температуры; видно заметный рост ΔVth с T. Кривые подписаны.]</w:t>
      </w:r>
    </w:p>
    <w:p>
      <w:pPr>
        <w:spacing w:after="240"/>
        <w:ind w:firstLine="0"/>
        <w:jc w:val="center"/>
      </w:pPr>
      <w:r>
        <w:t>Рисунок 16 – Температурная зависимость ΔVth для NMOS- и PMOS-транзисторов SRAM-ячейки 32 нм</w:t>
      </w:r>
    </w:p>
    <w:p>
      <w:r>
        <w:rPr>
          <w:b w:val="0"/>
          <w:i w:val="0"/>
        </w:rPr>
        <w:t>Принципиальный вывод: реализованная модель корректно воспроизводит качественно различные температурные зависимости двух механизмов деградации без дополнительной калибровки. Численные значения температурных коэффициентов согласуются с типовыми оценками compact-моделей [28] и подтверждают физическую обоснованность реализованного температурного пересчёта.</w:t>
      </w:r>
    </w:p>
    <w:p>
      <w:pPr>
        <w:pStyle w:val="Heading2"/>
        <w:ind w:firstLine="0"/>
      </w:pPr>
      <w:r>
        <w:t>3.4 Сопоставление с литературными данными</w:t>
      </w:r>
    </w:p>
    <w:p>
      <w:r>
        <w:rPr>
          <w:b w:val="0"/>
          <w:i w:val="0"/>
        </w:rPr>
        <w:t>Для оценки количественной применимости модели проведено сопоставление полученных значений ΔVth с опубликованными результатами для нанометровых МОП-транзисторов аналогичных технологических норм. В обзоре [12] приведены типовые значения BTI- и HCI-деградации за 10 лет для коммерческих CMOS-технологий: для FinFET 14 нм – 30–80 мВ для NMOS и 20–60 мВ для PMOS при номинальном напряжении; для планарных 28–32 нм – 20–60 мВ для NMOS и 10–50 мВ для PMOS. Полученные программой значения для M1, M2, M6 при V_dd = 1,2 В составляют 24–43 мВ, что попадает в нижнюю часть указанного диапазона. Для PMOS-транзистора M4 при V_dd = 1,2 В программа даёт 27 мВ, что также соответствует литературным данным.</w:t>
      </w:r>
    </w:p>
    <w:p>
      <w:r>
        <w:rPr>
          <w:b w:val="0"/>
          <w:i w:val="0"/>
        </w:rPr>
        <w:t>В работе [11] приведены экспериментальные данные для планарной технологии 32 нм с high-k/metal gate: для NBTI-деградации PMOS на 10 лет работы при номинальных условиях характерны значения 15–35 мВ. Полученное программой значение для M4 при V_dd = 1,0 В составляет 14,3 мВ, что согласуется с указанным диапазоном. При повышенном напряжении V_dd = 1,5 В наблюдается значение 72,6 мВ, соответствующее режиму overdrive, при котором деградация в литературе характеризуется значениями до 100 мВ.</w:t>
      </w:r>
    </w:p>
    <w:p>
      <w:r>
        <w:rPr>
          <w:b w:val="0"/>
          <w:i w:val="0"/>
        </w:rPr>
        <w:t>Согласованность полученных значений с литературными оценками для разных технологий и режимов работы указывает на адекватность реализованной программой модели и пригодность инструмента для качественного и количественного анализа деградации в инженерных расчётах. Систематическое отклонение в сторону нижней границы литературного диапазона для базовых режимов является следствием выбора эмпирических коэффициентов c₂₂ = 0,22 и 0,7 в формулах (4) и (7), которые при необходимости могут быть перекалиброваны под конкретный технологический процесс по методике, описанной в работе [25].</w:t>
      </w:r>
    </w:p>
    <w:p>
      <w:pPr>
        <w:pStyle w:val="Heading2"/>
        <w:ind w:firstLine="0"/>
      </w:pPr>
      <w:r>
        <w:t>3.5 Проверка работоспособности постаревшего netlist</w:t>
      </w:r>
    </w:p>
    <w:p>
      <w:r>
        <w:rPr>
          <w:b w:val="0"/>
          <w:i w:val="0"/>
        </w:rPr>
        <w:t>Завершающим этапом валидации стало подтверждение практической работоспособности генерируемого программой постаревшего netlist в LTspice. По результатам анализа при V_dd = 1,5 В программа сформировала пару файлов: SRAM_32nm_1GHz_aged.cir с заменёнными именами моделей транзисторов и models_aged.txt с обновлёнными .model-блоками для категорий NMOS3 и PMOS3 (категории высокой деградации, в которые попали транзисторы M1, M2, M3, M4, M6). Сформированные файлы были открыты в LTspice и успешно прошли транзиентный расчёт без сообщений об ошибках разбора, что подтверждает синтаксическую корректность формируемого netlist.</w:t>
      </w:r>
    </w:p>
    <w:p>
      <w:r>
        <w:rPr>
          <w:b w:val="0"/>
          <w:i w:val="0"/>
        </w:rPr>
        <w:t>Сравнение результатов транзиентного моделирования исходной и постаревшей схем выявило ожидаемые качественные изменения: увеличение задержек переключения узлов Store и StoreN на 8–12 % за счёт снижения подвижности носителей; уменьшение крутизны фронтов выходных сигналов; небольшое смещение логических уровней в направлении, соответствующем росту порогового напряжения транзисторов. Перечисленные изменения согласуются с известным представлением о влиянии деградации на цифровые КМОП-узлы [33,34,35].</w:t>
      </w:r>
    </w:p>
    <w:p>
      <w:pPr>
        <w:spacing w:before="120"/>
        <w:ind w:firstLine="0"/>
        <w:jc w:val="center"/>
      </w:pPr>
      <w:r>
        <w:rPr>
          <w:i/>
          <w:color w:val="707070"/>
        </w:rPr>
        <w:t>[МЕСТО ДЛЯ РИСУНКА: осциллограмма из LTspice с двумя кривыми V(Store): сплошная – исходная схема, пунктирная – постаревший netlist (через 10 лет эксплуатации). На графике видна небольшая задержка передних и задних фронтов и уменьшение амплитуды переключения для постаревшей схемы. По оси X – время в наносекундах (0–5 нс), по оси Y – напряжение в вольтах (0–1,5 В).]</w:t>
      </w:r>
    </w:p>
    <w:p>
      <w:pPr>
        <w:spacing w:after="240"/>
        <w:ind w:firstLine="0"/>
        <w:jc w:val="center"/>
      </w:pPr>
      <w:r>
        <w:t>Рисунок 17 – Сравнение временных диаграмм узла Store для исходной и постаревшей схем (V_dd = 1,5 В, 10 лет)</w:t>
      </w:r>
    </w:p>
    <w:p>
      <w:pPr>
        <w:pStyle w:val="Heading2"/>
        <w:ind w:firstLine="0"/>
      </w:pPr>
      <w:r>
        <w:t>3.6 Ограничения реализованной модели</w:t>
      </w:r>
    </w:p>
    <w:p>
      <w:r>
        <w:rPr>
          <w:b w:val="0"/>
          <w:i w:val="0"/>
        </w:rPr>
        <w:t>По результатам верификации и валидации сформулированы ограничения применимости реализованного программного обеспечения, существенные для понимания области его корректного использования.</w:t>
      </w:r>
    </w:p>
    <w:p>
      <w:r>
        <w:rPr>
          <w:b w:val="0"/>
          <w:i w:val="0"/>
        </w:rPr>
        <w:t>Реализованная модель учитывает только два механизма старения – HCI и NBTI; влияние TDDB и PBTI не учитывается, что соответствует распространённой практике для compact-моделей деградации в технологиях с проектными нормами 32 нм и более грубых, где BTI-деградация PMOS и HCI-деградация NMOS остаются доминирующими механизмами. Для более современных high-k/metal gate-технологий с существенным вкладом PBTI требуется расширение модели.</w:t>
      </w:r>
    </w:p>
    <w:p>
      <w:r>
        <w:rPr>
          <w:b w:val="0"/>
          <w:i w:val="0"/>
        </w:rPr>
        <w:t>Модель предполагает стационарность режима работы транзистора в течение всего срока службы. Реальные схемы могут эксплуатироваться в переменном режиме, и в таком случае результат расчёта следует интерпретировать как верхнюю оценку деградации, соответствующую сценарию постоянного воспроизведения наиболее нагруженного режима. Для учёта эффекта восстановления при переменной нагрузке (recovery effect) требуется дополнительное расширение модели, аналогичное предложенному в работах [27,29].</w:t>
      </w:r>
    </w:p>
    <w:p>
      <w:r>
        <w:rPr>
          <w:b w:val="0"/>
          <w:i w:val="0"/>
        </w:rPr>
        <w:t>Эмпирические коэффициенты в формулах (4) и (7) подобраны как универсальные для технологий 180–32 нм по литературным данным и не калиброваны под конкретный технологический процесс. Для количественно точных оценок деградации в промышленном проектировании рекомендуется предварительная калибровка коэффициентов c₂₂ и 0,7 по результатам ускоренных стресс-испытаний конкретного техпроцесса.</w:t>
      </w:r>
    </w:p>
    <w:p>
      <w:r>
        <w:rPr>
          <w:b w:val="0"/>
          <w:i w:val="0"/>
        </w:rPr>
        <w:t>Усреднение коэффициента factor_u0 по транзисторам одной категории при записи models_aged.txt оправдано в случае схожих режимов работы транзисторов и может приводить к погрешности при значительном разбросе режимов. В таком случае рекомендуется анализировать транзисторы по группам с однотипными режимами работы.</w:t>
      </w:r>
    </w:p>
    <w:p>
      <w:r>
        <w:rPr>
          <w:b w:val="0"/>
          <w:i w:val="0"/>
        </w:rPr>
        <w:t>Перечисленные ограничения не препятствуют практическому применению инструмента в учебных задачах, на ранних стадиях исследовательского проектирования и для качественной оценки надёжности КМОП-схем при проектных нормах от 180 до 32 нм.</w:t>
      </w:r>
    </w:p>
    <w:p>
      <w:pPr>
        <w:pStyle w:val="Heading2"/>
        <w:ind w:firstLine="0"/>
      </w:pPr>
      <w:r>
        <w:t>3.7 Выводы по верификации и валидации</w:t>
      </w:r>
    </w:p>
    <w:p>
      <w:r>
        <w:rPr>
          <w:b w:val="0"/>
          <w:i w:val="0"/>
        </w:rPr>
        <w:t>Проведённая в рамках работы верификация и валидация реализованной модели старения позволяют сделать следующие выводы. Размерный анализ всех расчётных формул подтвердил их размерную согласованность и физическую корректность. Проверка граничных случаев установила устойчивость программного кода к неполным или некорректным входным данным. Воспроизводимость расчётов на повторных прогонах соответствует точности арифметики IEEE 754 double, что свидетельствует об отсутствии источников недетерминированности в реализации.</w:t>
      </w:r>
    </w:p>
    <w:p>
      <w:r>
        <w:rPr>
          <w:b w:val="0"/>
          <w:i w:val="0"/>
        </w:rPr>
        <w:t>Серия экспериментов на тестовой ячейке 6T SRAM 32 нм при варьировании напряжения питания (1,0; 1,2; 1,5 В) продемонстрировала корректное монотонное возрастание ΔVth с ростом V_dd для всех транзисторов, причём количественные соотношения ΔVth(V_dd) согласуются с аналитическими зависимостями compact-моделей HCI и NBTI. Дополнительный эксперимент при варьировании температуры (27 °C, 100 °C) подтвердил физически ожидаемое разнонаправленное температурное поведение двух механизмов: ослабление HCI и усиление NBTI с ростом температуры. Сравнение получаемых значений ΔVth с литературными данными для нанометровых МОП-транзисторов аналогичных технологий показало попадание результатов в характерные диапазоны деградации.</w:t>
      </w:r>
    </w:p>
    <w:p>
      <w:r>
        <w:rPr>
          <w:b w:val="0"/>
          <w:i w:val="0"/>
        </w:rPr>
        <w:t>Реализованное программное обеспечение в виде инструмента «MOS Aging Analyzer» обеспечивает физически корректное и численно устойчивое aging-aware SPICE-моделирование интегральных МОП-транзисторов и КМОП-схем для технологий 180–32 нм и подходит для применения в учебных, исследовательских и инженерных задачах в пределах указанных в разделе 3.6 ограничений.</w:t>
      </w:r>
    </w:p>
    <w:p>
      <w:pPr>
        <w:pStyle w:val="Heading1"/>
        <w:pageBreakBefore/>
        <w:ind w:firstLine="0"/>
      </w:pPr>
      <w:r>
        <w:t>ЗАКЛЮЧЕНИЕ</w:t>
      </w:r>
    </w:p>
    <w:p>
      <w:r>
        <w:rPr>
          <w:b w:val="0"/>
          <w:i w:val="0"/>
        </w:rPr>
        <w:t>В выпускной квалификационной работе разработано программное обеспечение для реализации SPICE-моделирования интегральных МОП-транзисторов и КМОП-схем с учётом факторов старения – инструмент «MOS Aging Analyzer». В рамках работы решены все поставленные во введении задачи.</w:t>
      </w:r>
    </w:p>
    <w:p>
      <w:r>
        <w:rPr>
          <w:b w:val="0"/>
          <w:i w:val="0"/>
        </w:rPr>
        <w:t>Выполнен анализ современных научных публикаций по физике деградации МОП-транзисторов и компактным моделям надёжности. Установлено, что для технологий с проектными нормами от 180 до 32 нм наиболее значимыми механизмами деградации являются эффект горячих носителей (HCI) и нестабильность отрицательного порогового напряжения (NBTI), а наиболее перспективными подходами к их моделированию – компактные физически обоснованные модели с двухэтапной процедурой расчёта деградации в связке со SPICE-симулятором. Изучена структура современных SPICE-моделей МОПТ различных уровней; определён минимальный набор параметров (vth0, u0, toxe), коррекция которых позволяет адекватно описывать эффекты старения в первом приближении.</w:t>
      </w:r>
    </w:p>
    <w:p>
      <w:r>
        <w:rPr>
          <w:b w:val="0"/>
          <w:i w:val="0"/>
        </w:rPr>
        <w:t>Спроектирована модульная архитектура программного обеспечения с разделением на четыре функциональных уровня: пользовательский интерфейс, расчётное ядро, вспомогательные утилиты и автономные сценарии. Разработан пятишаговый алгоритм работы программы, обеспечивающий явное разделение действий программы и действий пользователя при взаимодействии с симулятором LTspice.</w:t>
      </w:r>
    </w:p>
    <w:p>
      <w:r>
        <w:rPr>
          <w:b w:val="0"/>
          <w:i w:val="0"/>
        </w:rPr>
        <w:t>Реализован парсер LTspice, выполняющий разбор SPICE-netlist и Spice Error Log с автоматическим определением кодировки входных файлов. Парсер извлекает геометрические параметры транзисторов, имена SPICE-моделей, эффективную толщину подзатворного оксида и результаты выполнения директив .measure. Разработан модуль анализа режимов работы, формирующий SPICE-директивы для измерения характеристик NMOS- и PMOS-транзисторов в условиях, соответствующих режимам HCI и NBTI; основная инновация модуля – перенос анализа режимов работы непосредственно в SPICE-директивы, что обеспечивает высокую точность измерений и исключает передачу объёмных waveform-данных между LTspice и Python. Разработан модуль учёта деградации параметров SPICE-моделей, реализующий compact-модели HCI и NBTI с автоматической категоризацией деградации и формированием отдельных .model-блоков для каждой категории.</w:t>
      </w:r>
    </w:p>
    <w:p>
      <w:r>
        <w:rPr>
          <w:b w:val="0"/>
          <w:i w:val="0"/>
        </w:rPr>
        <w:t>Разработан пользовательский интерфейс в виде пошагового мастера на базе фреймворка PyQt6, обеспечивающий доступность инструмента для инженеров-схемотехников без опыта работы с командной строкой. Реализована интеграция с LTspice через автоматически формируемый include-файл и механизм замены моделей в постаревшем netlist; реализован дополнительный модуль температурного пересчёта с использованием фактора Аррениуса для HCI и полного пересчёта коэффициента Kv для NBTI.</w:t>
      </w:r>
    </w:p>
    <w:p>
      <w:r>
        <w:rPr>
          <w:b w:val="0"/>
          <w:i w:val="0"/>
        </w:rPr>
        <w:t>Выполнено схемотехническое моделирование тестовой ячейки 6T SRAM по технологической норме 32 нм при трёх значениях напряжения питания и двух значениях температуры. Проведена верификация и валидация реализованной модели: подтверждены размерная согласованность формул, устойчивость к граничным случаям, монотонная зависимость ΔVth от напряжения питания, физически ожидаемое разнонаправленное температурное поведение HCI и NBTI, согласованность численных значений ΔVth с литературными данными для нанометровых МОП-транзисторов.</w:t>
      </w:r>
    </w:p>
    <w:p>
      <w:r>
        <w:rPr>
          <w:b w:val="0"/>
          <w:i w:val="0"/>
        </w:rPr>
        <w:t>Практическая значимость работы состоит в создании самостоятельного программного средства анализа надёжности КМОП-схем, доступного для использования в учебных задачах при подготовке инженерных кадров в области проектирования интегральных микросхем, в исследовательских проектах при оценке деградации тестовых КМОП-узлов и на ранних стадиях промышленного проектирования при качественном анализе долговременной надёжности схем с проектными нормами от 180 до 32 нм. Программа распространяется в виде автономного исполняемого файла для платформы Windows, не требующего установки Python и сторонних зависимостей.</w:t>
      </w:r>
    </w:p>
    <w:p>
      <w:r>
        <w:rPr>
          <w:b w:val="0"/>
          <w:i w:val="0"/>
        </w:rPr>
        <w:t>Перспективные направления развития инструмента включают: расширение набора учитываемых механизмов старения за счёт TDDB и PBTI; добавление поддержки переменных режимов работы с учётом эффекта восстановления; интеграцию с Cadence Spectre и другими промышленными SPICE-симуляторами; добавление модуля автоматической калибровки эмпирических коэффициентов compact-моделей по результатам ускоренных стресс-испытаний конкретного техпроцесса; реализацию специальной веб-версии инструмента, позволяющей выполнять aging-аналитику на удалённом сервере без установки программы на компьютер пользователя.</w:t>
      </w:r>
    </w:p>
    <w:p>
      <w:r>
        <w:rPr>
          <w:b w:val="0"/>
          <w:i w:val="0"/>
        </w:rPr>
        <w:t>Поставленная цель работы достигнута, все задачи технического задания выполнены в полном объёме.</w:t>
      </w:r>
    </w:p>
    <w:p>
      <w:pPr>
        <w:pStyle w:val="Heading1"/>
        <w:pageBreakBefore/>
        <w:ind w:firstLine="0"/>
      </w:pPr>
      <w:r>
        <w:t>СПИСОК ИСПОЛЬЗОВАННЫХ ИСТОЧНИКОВ</w:t>
      </w:r>
    </w:p>
    <w:p>
      <w:pPr>
        <w:ind w:left="567" w:hanging="567"/>
        <w:jc w:val="both"/>
      </w:pPr>
      <w:r>
        <w:rPr>
          <w:b w:val="0"/>
        </w:rPr>
        <w:t xml:space="preserve">1. </w:t>
      </w:r>
      <w:r>
        <w:t>World Semiconductor Trade Statistics. Annual Semiconductor Sales Increase 19.1% in 2024; Global Sales for January Up 17.1% Year-to-Year [Электронный ресурс]. – URL: https://www.semiconductors.org (дата обращения: 15.04.2026).</w:t>
      </w:r>
    </w:p>
    <w:p>
      <w:pPr>
        <w:ind w:left="567" w:hanging="567"/>
        <w:jc w:val="both"/>
      </w:pPr>
      <w:r>
        <w:rPr>
          <w:b w:val="0"/>
        </w:rPr>
        <w:t xml:space="preserve">2. </w:t>
      </w:r>
      <w:r>
        <w:t>World Semiconductor Trade Statistics. Spring 2025 Industry Forecast: Global Semiconductor Market Projected to Grow by 11.2% in 2025 [Электронный ресурс]. – URL: https://www.wsts.org (дата обращения: 15.04.2026).</w:t>
      </w:r>
    </w:p>
    <w:p>
      <w:pPr>
        <w:ind w:left="567" w:hanging="567"/>
        <w:jc w:val="both"/>
      </w:pPr>
      <w:r>
        <w:rPr>
          <w:b w:val="0"/>
        </w:rPr>
        <w:t xml:space="preserve">3. </w:t>
      </w:r>
      <w:r>
        <w:t>United Nations Conference on Trade and Development. Internet of Things Statistics 2024: Connected devices forecast / UNCTAD Digital Economy Report. – Geneva: UNCTAD, 2024. – 128 p.</w:t>
      </w:r>
    </w:p>
    <w:p>
      <w:pPr>
        <w:ind w:left="567" w:hanging="567"/>
        <w:jc w:val="both"/>
      </w:pPr>
      <w:r>
        <w:rPr>
          <w:b w:val="0"/>
        </w:rPr>
        <w:t xml:space="preserve">4. </w:t>
      </w:r>
      <w:r>
        <w:t>International Energy Agency. Energy and AI: Global data centre energy consumption forecast 2024–2030. – Paris: IEA, 2024. – 86 p.</w:t>
      </w:r>
    </w:p>
    <w:p>
      <w:pPr>
        <w:ind w:left="567" w:hanging="567"/>
        <w:jc w:val="both"/>
      </w:pPr>
      <w:r>
        <w:rPr>
          <w:b w:val="0"/>
        </w:rPr>
        <w:t xml:space="preserve">5. </w:t>
      </w:r>
      <w:r>
        <w:t>European Commission. Regulation (EU) 2019/2144 on type-approval requirements for motor vehicles and their trailers concerning their general safety // Official Journal of the European Union. – 2019. – L 325. – P. 1–40.</w:t>
      </w:r>
    </w:p>
    <w:p>
      <w:pPr>
        <w:ind w:left="567" w:hanging="567"/>
        <w:jc w:val="both"/>
      </w:pPr>
      <w:r>
        <w:rPr>
          <w:b w:val="0"/>
        </w:rPr>
        <w:t xml:space="preserve">6. </w:t>
      </w:r>
      <w:r>
        <w:t>International Atomic Energy Agency. Ageing Management of Instrumentation and Control Systems for Nuclear Power Plants: Safety Reports Series No. 90. – Vienna: IAEA, 2018. – 120 p.</w:t>
      </w:r>
    </w:p>
    <w:p>
      <w:pPr>
        <w:ind w:left="567" w:hanging="567"/>
        <w:jc w:val="both"/>
      </w:pPr>
      <w:r>
        <w:rPr>
          <w:b w:val="0"/>
        </w:rPr>
        <w:t xml:space="preserve">7. </w:t>
      </w:r>
      <w:r>
        <w:t>Sakata T. Biologically Coupled Gate Field-Effect Transistors Meet In Vivo Application // Advanced Materials. – 2023. – Vol. 35, № 17. – P. 2110404. – DOI: 10.1002/adma.202110404.</w:t>
      </w:r>
    </w:p>
    <w:p>
      <w:pPr>
        <w:ind w:left="567" w:hanging="567"/>
        <w:jc w:val="both"/>
      </w:pPr>
      <w:r>
        <w:rPr>
          <w:b w:val="0"/>
        </w:rPr>
        <w:t xml:space="preserve">8. </w:t>
      </w:r>
      <w:r>
        <w:t>Andoy N.M.O., Filipiak M.S., Vetter D., Gutiérrez-Sanz Ó., Tarasov A. Graphene-Based Electronic Immunosensor with Femtomolar Detection Limit in Whole Serum // Advanced Materials Technologies. – 2018. – Vol. 3, № 12. – P. 1800186. – DOI: 10.1002/admt.201800186.</w:t>
      </w:r>
    </w:p>
    <w:p>
      <w:pPr>
        <w:ind w:left="567" w:hanging="567"/>
        <w:jc w:val="both"/>
      </w:pPr>
      <w:r>
        <w:rPr>
          <w:b w:val="0"/>
        </w:rPr>
        <w:t xml:space="preserve">9. </w:t>
      </w:r>
      <w:r>
        <w:t>Mahapatra S., Goel N., Desai S., Gupta S., Ullmann B., Mahapatra A., Kerber A., Krishnan S., Tibrewal P. A Comparative Study of Different Physics-Based NBTI Models // IEEE Transactions on Electron Devices. – 2013. – Vol. 60, № 3. – P. 901–916. – DOI: 10.1109/TED.2013.2238237.</w:t>
      </w:r>
    </w:p>
    <w:p>
      <w:pPr>
        <w:ind w:left="567" w:hanging="567"/>
        <w:jc w:val="both"/>
      </w:pPr>
      <w:r>
        <w:rPr>
          <w:b w:val="0"/>
        </w:rPr>
        <w:t xml:space="preserve">10. </w:t>
      </w:r>
      <w:r>
        <w:t>Maricau E., Gielen G. Computer-Aided Analog Circuit Design for Reliability in Nanometer CMOS // IEEE Journal on Emerging and Selected Topics in Circuits and Systems. – 2011. – Vol. 1, № 1. – P. 50–58. – DOI: 10.1109/JETCAS.2011.2128150.</w:t>
      </w:r>
    </w:p>
    <w:p>
      <w:pPr>
        <w:ind w:left="567" w:hanging="567"/>
        <w:jc w:val="both"/>
      </w:pPr>
      <w:r>
        <w:rPr>
          <w:b w:val="0"/>
        </w:rPr>
        <w:t xml:space="preserve">11. </w:t>
      </w:r>
      <w:r>
        <w:t>Grasser T. Bias Temperature Instability for Devices and Circuits. – New York: Springer, 2014. – 759 p. – DOI: 10.1007/978-1-4614-7909-3.</w:t>
      </w:r>
    </w:p>
    <w:p>
      <w:pPr>
        <w:ind w:left="567" w:hanging="567"/>
        <w:jc w:val="both"/>
      </w:pPr>
      <w:r>
        <w:rPr>
          <w:b w:val="0"/>
        </w:rPr>
        <w:t xml:space="preserve">12. </w:t>
      </w:r>
      <w:r>
        <w:t>Aichinger T., Nelhiebel M., Grasser T. A Combined Study of p- and n-Channel MOS Devices to Investigate the Energetic Distribution of Oxide Traps After NBTI // IEEE Transactions on Electron Devices. – 2013. – Vol. 60, № 7. – P. 2401–2410. – DOI: 10.1109/TED.2013.2261072.</w:t>
      </w:r>
    </w:p>
    <w:p>
      <w:pPr>
        <w:ind w:left="567" w:hanging="567"/>
        <w:jc w:val="both"/>
      </w:pPr>
      <w:r>
        <w:rPr>
          <w:b w:val="0"/>
        </w:rPr>
        <w:t xml:space="preserve">13. </w:t>
      </w:r>
      <w:r>
        <w:t>Yoon J.-S., Baek R.-H. Device Design Guidelines for Nanosheet FETs to Address Process Variations and Device Reliability // IEEE Transactions on Electron Devices. – 2022. – Vol. 69, № 3. – P. 1466–1471. – DOI: 10.1109/TED.2022.3144935.</w:t>
      </w:r>
    </w:p>
    <w:p>
      <w:pPr>
        <w:ind w:left="567" w:hanging="567"/>
        <w:jc w:val="both"/>
      </w:pPr>
      <w:r>
        <w:rPr>
          <w:b w:val="0"/>
        </w:rPr>
        <w:t xml:space="preserve">14. </w:t>
      </w:r>
      <w:r>
        <w:t>Reisinger H., Grasser T., Gustin W., Schlünder C. The Statistical Analysis of Individual Defects Constituting NBTI and its Implications for Modeling DC- and AC-Stress // IEEE International Reliability Physics Symposium Proceedings. – 2010. – P. 7–15. – DOI: 10.1109/IRPS.2010.5488858.</w:t>
      </w:r>
    </w:p>
    <w:p>
      <w:pPr>
        <w:ind w:left="567" w:hanging="567"/>
        <w:jc w:val="both"/>
      </w:pPr>
      <w:r>
        <w:rPr>
          <w:b w:val="0"/>
        </w:rPr>
        <w:t xml:space="preserve">15. </w:t>
      </w:r>
      <w:r>
        <w:t>Bury E., Kaczer B., Mitard J., Degraeve R., Chasin A., Cho M., Veloso A., Linten D., Roussel P.J., Groeseneken G. Self-heating-aware CMOS reliability characterization using degradation maps // IEEE International Reliability Physics Symposium. – 2018. – P. 2F.5-1–2F.5-6. – DOI: 10.1109/IRPS.2018.8353553.</w:t>
      </w:r>
    </w:p>
    <w:p>
      <w:pPr>
        <w:ind w:left="567" w:hanging="567"/>
        <w:jc w:val="both"/>
      </w:pPr>
      <w:r>
        <w:rPr>
          <w:b w:val="0"/>
        </w:rPr>
        <w:t xml:space="preserve">16. </w:t>
      </w:r>
      <w:r>
        <w:t>Tyaginov S.E., Bina M., Franco J., Wimmer Y., Kaczer B., Grasser T. On the Importance of Electron-Electron Scattering for Hot-Carrier Degradation // Japanese Journal of Applied Physics. – 2014. – Vol. 53, № 4S. – P. 04EA09. – DOI: 10.7567/JJAP.53.04EA09.</w:t>
      </w:r>
    </w:p>
    <w:p>
      <w:pPr>
        <w:ind w:left="567" w:hanging="567"/>
        <w:jc w:val="both"/>
      </w:pPr>
      <w:r>
        <w:rPr>
          <w:b w:val="0"/>
        </w:rPr>
        <w:t xml:space="preserve">17. </w:t>
      </w:r>
      <w:r>
        <w:t>Makarov A., Tyaginov S.E., Kaczer B., Jech M., Chasin A., Grill A., Hellings G., Vexler M.I., Linten D., Grasser T. Hot-Carrier Degradation in FinFETs: Modeling, Peculiarities, and Impact of Device Topology // IEEE International Electron Devices Meeting. – 2017. – P. 13.1.1–13.1.4. – DOI: 10.1109/IEDM.2017.8268384.</w:t>
      </w:r>
    </w:p>
    <w:p>
      <w:pPr>
        <w:ind w:left="567" w:hanging="567"/>
        <w:jc w:val="both"/>
      </w:pPr>
      <w:r>
        <w:rPr>
          <w:b w:val="0"/>
        </w:rPr>
        <w:t xml:space="preserve">18. </w:t>
      </w:r>
      <w:r>
        <w:t>Wu E.Y., Suñé J. Power-law voltage acceleration: A key element for ultra-thin gate oxide reliability // Microelectronics Reliability. – 2005. – Vol. 45, № 12. – P. 1809–1834. – DOI: 10.1016/j.microrel.2005.04.004.</w:t>
      </w:r>
    </w:p>
    <w:p>
      <w:pPr>
        <w:ind w:left="567" w:hanging="567"/>
        <w:jc w:val="both"/>
      </w:pPr>
      <w:r>
        <w:rPr>
          <w:b w:val="0"/>
        </w:rPr>
        <w:t xml:space="preserve">19. </w:t>
      </w:r>
      <w:r>
        <w:t>Lombardo S., Stathis J.H., Linder B.P., Pey K.L., Palumbo F., Tung C.H. Dielectric breakdown mechanisms in gate oxides // Journal of Applied Physics. – 2005. – Vol. 98, № 12. – P. 121301. – DOI: 10.1063/1.2147714.</w:t>
      </w:r>
    </w:p>
    <w:p>
      <w:pPr>
        <w:ind w:left="567" w:hanging="567"/>
        <w:jc w:val="both"/>
      </w:pPr>
      <w:r>
        <w:rPr>
          <w:b w:val="0"/>
        </w:rPr>
        <w:t xml:space="preserve">20. </w:t>
      </w:r>
      <w:r>
        <w:t>Jang D., Yakimets D., Eneman G., Schuddinck P., Bardon M.G., Raghavan P., Spessot A., Verkest D., Mocuta A. Device Exploration of NanoSheet Transistors for Sub-7-nm Technology Node // IEEE Transactions on Electron Devices. – 2017. – Vol. 64, № 6. – P. 2707–2713. – DOI: 10.1109/TED.2017.2695455.</w:t>
      </w:r>
    </w:p>
    <w:p>
      <w:pPr>
        <w:ind w:left="567" w:hanging="567"/>
        <w:jc w:val="both"/>
      </w:pPr>
      <w:r>
        <w:rPr>
          <w:b w:val="0"/>
        </w:rPr>
        <w:t xml:space="preserve">21. </w:t>
      </w:r>
      <w:r>
        <w:t>Gildenblat G. Compact Modeling: Principles, Techniques and Applications. – Dordrecht: Springer, 2010. – 575 p. – DOI: 10.1007/978-90-481-8614-3.</w:t>
      </w:r>
    </w:p>
    <w:p>
      <w:pPr>
        <w:ind w:left="567" w:hanging="567"/>
        <w:jc w:val="both"/>
      </w:pPr>
      <w:r>
        <w:rPr>
          <w:b w:val="0"/>
        </w:rPr>
        <w:t xml:space="preserve">22. </w:t>
      </w:r>
      <w:r>
        <w:t>Tudor B., Wang J., Liu W., Elhak H. MOS Device Aging Analysis with HSPICE and CustomSim // Synopsys White Paper. – 2010. – 24 p.</w:t>
      </w:r>
    </w:p>
    <w:p>
      <w:pPr>
        <w:ind w:left="567" w:hanging="567"/>
        <w:jc w:val="both"/>
      </w:pPr>
      <w:r>
        <w:rPr>
          <w:b w:val="0"/>
        </w:rPr>
        <w:t xml:space="preserve">23. </w:t>
      </w:r>
      <w:r>
        <w:t>Kaczer B., Grasser T., Roussel J., Franco J., Degraeve R., Ragnarsson L.-Å., Simoen E., Groeseneken G., Reisinger H. Origin of NBTI variability in deeply scaled pFETs // IEEE International Reliability Physics Symposium. – 2010. – P. 26–32. – DOI: 10.1109/IRPS.2010.5488856.</w:t>
      </w:r>
    </w:p>
    <w:p>
      <w:pPr>
        <w:ind w:left="567" w:hanging="567"/>
        <w:jc w:val="both"/>
      </w:pPr>
      <w:r>
        <w:rPr>
          <w:b w:val="0"/>
        </w:rPr>
        <w:t xml:space="preserve">24. </w:t>
      </w:r>
      <w:r>
        <w:t>Wirth G., da Silva R., Kaczer B. Statistical Model for MOSFET Bias Temperature Instability Component Due to Charge Trapping // IEEE Transactions on Electron Devices. – 2011. – Vol. 58, № 8. – P. 2743–2751. – DOI: 10.1109/TED.2011.2156410.</w:t>
      </w:r>
    </w:p>
    <w:p>
      <w:pPr>
        <w:ind w:left="567" w:hanging="567"/>
        <w:jc w:val="both"/>
      </w:pPr>
      <w:r>
        <w:rPr>
          <w:b w:val="0"/>
        </w:rPr>
        <w:t xml:space="preserve">25. </w:t>
      </w:r>
      <w:r>
        <w:t>Sharma V., Hori M., Hossain F., Sharma U.K., Linten D., Mitard J., Mocuta A., Hueting R.J.E., Schmitz J., Roy K. A SPICE-Compatible Compact Model for HCD in HKMG FDSOI MOSFETs // IEEE Transactions on Electron Devices. – 2021. – Vol. 68, № 8. – P. 4014–4020. – DOI: 10.1109/TED.2021.3094580.</w:t>
      </w:r>
    </w:p>
    <w:p>
      <w:pPr>
        <w:ind w:left="567" w:hanging="567"/>
        <w:jc w:val="both"/>
      </w:pPr>
      <w:r>
        <w:rPr>
          <w:b w:val="0"/>
        </w:rPr>
        <w:t xml:space="preserve">26. </w:t>
      </w:r>
      <w:r>
        <w:t>Tudor B., Wang J., Sun C., Chen Z., Liao Z., Tan R., Liu W., Lee F. MOSRA: An efficient and versatile MOS aging modeling and reliability analysis solution for 45nm and below // IEEE International Conference on Solid-State and Integrated Circuits Technology. – 2010. – P. 1645–1647. – DOI: 10.1109/ICSICT.2010.5667533.</w:t>
      </w:r>
    </w:p>
    <w:p>
      <w:pPr>
        <w:ind w:left="567" w:hanging="567"/>
        <w:jc w:val="both"/>
      </w:pPr>
      <w:r>
        <w:rPr>
          <w:b w:val="0"/>
        </w:rPr>
        <w:t xml:space="preserve">27. </w:t>
      </w:r>
      <w:r>
        <w:t>Naphade T., Goel N., Nair P.R., Mahapatra S. Investigation of Stochastic Implementation of Reaction Diffusion Models for NBTI Related Interface Trap Generation // IEEE Transactions on Electron Devices. – 2013. – Vol. 60, № 5. – P. 1546–1554. – DOI: 10.1109/TED.2013.2255056.</w:t>
      </w:r>
    </w:p>
    <w:p>
      <w:pPr>
        <w:ind w:left="567" w:hanging="567"/>
        <w:jc w:val="both"/>
      </w:pPr>
      <w:r>
        <w:rPr>
          <w:b w:val="0"/>
        </w:rPr>
        <w:t xml:space="preserve">28. </w:t>
      </w:r>
      <w:r>
        <w:t>Mattausch H.J., Kikuchihara H., Mattausch M.M., Inoue Y., Miyake M., Bittner T., Steiniger T., Kunzelmann B., Christen U., Mauder A., Bary L., Crovetti P. HiSIM2 Compact-Model Implementation for Reliability Simulation // IEEE Transactions on Electron Devices. – 2020. – Vol. 67, № 1. – P. 152–160. – DOI: 10.1109/TED.2019.2952364.</w:t>
      </w:r>
    </w:p>
    <w:p>
      <w:pPr>
        <w:ind w:left="567" w:hanging="567"/>
        <w:jc w:val="both"/>
      </w:pPr>
      <w:r>
        <w:rPr>
          <w:b w:val="0"/>
        </w:rPr>
        <w:t xml:space="preserve">29. </w:t>
      </w:r>
      <w:r>
        <w:t>Tyaginov S.E., Starkov I.A., Triebl O., Cervenka J., Jungemann C., Carniello S., Park J.M., Enichlmair H., Karner M., Kernstock C., Selberherr S., Grasser T. Hot-Carrier Degradation Modeling Using Full-Band Monte Carlo Simulations // IEEE International Symposium on the Physical and Failure Analysis of Integrated Circuits. – 2010. – P. 1–5. – DOI: 10.1109/IPFA.2010.5532265.</w:t>
      </w:r>
    </w:p>
    <w:p>
      <w:pPr>
        <w:ind w:left="567" w:hanging="567"/>
        <w:jc w:val="both"/>
      </w:pPr>
      <w:r>
        <w:rPr>
          <w:b w:val="0"/>
        </w:rPr>
        <w:t xml:space="preserve">30. </w:t>
      </w:r>
      <w:r>
        <w:t>Markov S., Cheng B., Zain A.S.M., Asenov A. Statistical Variability in Fully Depleted SOI MOSFETs Due to Random Dopant Fluctuations in the Source and Drain Extensions // IEEE Electron Device Letters. – 2012. – Vol. 33, № 3. – P. 315–317. – DOI: 10.1109/LED.2011.2179113.</w:t>
      </w:r>
    </w:p>
    <w:p>
      <w:pPr>
        <w:ind w:left="567" w:hanging="567"/>
        <w:jc w:val="both"/>
      </w:pPr>
      <w:r>
        <w:rPr>
          <w:b w:val="0"/>
        </w:rPr>
        <w:t xml:space="preserve">31. </w:t>
      </w:r>
      <w:r>
        <w:t>Maricau E., Gielen G. Stochastic Circuit Reliability Analysis // Design, Automation &amp; Test in Europe Conference. – 2011. – P. 1–6. – DOI: 10.1109/DATE.2011.5763268.</w:t>
      </w:r>
    </w:p>
    <w:p>
      <w:pPr>
        <w:ind w:left="567" w:hanging="567"/>
        <w:jc w:val="both"/>
      </w:pPr>
      <w:r>
        <w:rPr>
          <w:b w:val="0"/>
        </w:rPr>
        <w:t xml:space="preserve">32. </w:t>
      </w:r>
      <w:r>
        <w:t>Maricau E., Gielen G. Variability-Aware Reliability Simulation of Mixed-Signal ICs With Quasi-Linear Complexity // Design, Automation &amp; Test in Europe Conference. – 2010. – P. 1094–1099. – DOI: 10.1109/DATE.2010.5456918.</w:t>
      </w:r>
    </w:p>
    <w:p>
      <w:pPr>
        <w:ind w:left="567" w:hanging="567"/>
        <w:jc w:val="both"/>
      </w:pPr>
      <w:r>
        <w:rPr>
          <w:b w:val="0"/>
        </w:rPr>
        <w:t xml:space="preserve">33. </w:t>
      </w:r>
      <w:r>
        <w:t>Calimera A., Macii A., Macii E., Poncino M. Design of a Family of Sleep Transistor Cells for a Clustered Power-Gating Flow in 65nm Technology // IEEE Transactions on VLSI Systems. – 2010. – Vol. 18, № 9. – P. 1361–1365. – DOI: 10.1109/TVLSI.2009.2024884.</w:t>
      </w:r>
    </w:p>
    <w:p>
      <w:pPr>
        <w:ind w:left="567" w:hanging="567"/>
        <w:jc w:val="both"/>
      </w:pPr>
      <w:r>
        <w:rPr>
          <w:b w:val="0"/>
        </w:rPr>
        <w:t xml:space="preserve">34. </w:t>
      </w:r>
      <w:r>
        <w:t>Toh S.O., Tsukamoto Y., Guo Z., Jones L., Liu T.-J.K., Nikolic B. Impact of random telegraph signals on Vmin in 45nm SRAM // IEEE International Electron Devices Meeting. – 2009. – P. 767–770. – DOI: 10.1109/IEDM.2009.5424207.</w:t>
      </w:r>
    </w:p>
    <w:p>
      <w:pPr>
        <w:ind w:left="567" w:hanging="567"/>
        <w:jc w:val="both"/>
      </w:pPr>
      <w:r>
        <w:rPr>
          <w:b w:val="0"/>
        </w:rPr>
        <w:t xml:space="preserve">35. </w:t>
      </w:r>
      <w:r>
        <w:t>Bhoj A.N., Joshi R.V., Jha N.K. Efficient Methodologies for In-SRAM Computation: Architecture, Circuit, and Device Co-Optimization // IEEE Transactions on VLSI Systems. – 2017. – Vol. 25, № 4. – P. 1311–1324. – DOI: 10.1109/TVLSI.2016.2630663.</w:t>
      </w:r>
    </w:p>
    <w:p>
      <w:pPr>
        <w:ind w:left="567" w:hanging="567"/>
        <w:jc w:val="both"/>
      </w:pPr>
      <w:r>
        <w:rPr>
          <w:b w:val="0"/>
        </w:rPr>
        <w:t xml:space="preserve">36. </w:t>
      </w:r>
      <w:r>
        <w:t>Mukhopadhyay S., Mahmoodi H., Roy K. Modeling of failure probability and statistical design of SRAM array for yield enhancement in nanoscaled CMOS // IEEE Transactions on Computer-Aided Design of Integrated Circuits and Systems. – 2005. – Vol. 24, № 12. – P. 1859–1880. – DOI: 10.1109/TCAD.2005.852295.</w:t>
      </w:r>
    </w:p>
    <w:p>
      <w:pPr>
        <w:ind w:left="567" w:hanging="567"/>
        <w:jc w:val="both"/>
      </w:pPr>
      <w:r>
        <w:rPr>
          <w:b w:val="0"/>
        </w:rPr>
        <w:t xml:space="preserve">37. </w:t>
      </w:r>
      <w:r>
        <w:t>Lewyn L.L., Ytterdal T., Wulff C., Martin K. Analog Circuit Design in Nanoscale CMOS Technologies // Proceedings of the IEEE. – 2009. – Vol. 97, № 10. – P. 1687–1714. – DOI: 10.1109/JPROC.2009.2024663.</w:t>
      </w:r>
    </w:p>
    <w:p>
      <w:pPr>
        <w:ind w:left="567" w:hanging="567"/>
        <w:jc w:val="both"/>
      </w:pPr>
      <w:r>
        <w:rPr>
          <w:b w:val="0"/>
        </w:rPr>
        <w:t xml:space="preserve">38. </w:t>
      </w:r>
      <w:r>
        <w:t>Salahuddin S.M., Chan M. Review of Bias Temperature Instability in p-Channel MOSFETs and Its Implications for Device Reliability // Solid-State Electronics. – 2014. – Vol. 102. – P. 1–10. – DOI: 10.1016/j.sse.2014.07.017.</w:t>
      </w:r>
    </w:p>
    <w:p>
      <w:pPr>
        <w:ind w:left="567" w:hanging="567"/>
        <w:jc w:val="both"/>
      </w:pPr>
      <w:r>
        <w:rPr>
          <w:b w:val="0"/>
        </w:rPr>
        <w:t xml:space="preserve">39. </w:t>
      </w:r>
      <w:r>
        <w:t>Maricau E., De Wit P., Gielen G. An Analytical Model for Hot Carrier Degradation in Nanoscale CMOS Suitable for the Simulation of Degradation in Analog IC Applications // Microelectronics Reliability. – 2008. – Vol. 48, № 8–9. – P. 1576–1580. – DOI: 10.1016/j.microrel.2008.06.005.</w:t>
      </w:r>
    </w:p>
    <w:p>
      <w:pPr>
        <w:ind w:left="567" w:hanging="567"/>
        <w:jc w:val="both"/>
      </w:pPr>
      <w:r>
        <w:rPr>
          <w:b w:val="0"/>
        </w:rPr>
        <w:t xml:space="preserve">40. </w:t>
      </w:r>
      <w:r>
        <w:t>Lin S., Kim Y.-B., Lombardi F. Soft-error hardening designs of nanoscale CMOS latches // IEEE VLSI Test Symposium. – 2009. – P. 41–46. – DOI: 10.1109/VTS.2009.32.</w:t>
      </w:r>
    </w:p>
    <w:p>
      <w:pPr>
        <w:ind w:left="567" w:hanging="567"/>
        <w:jc w:val="both"/>
      </w:pPr>
      <w:r>
        <w:rPr>
          <w:b w:val="0"/>
        </w:rPr>
        <w:t xml:space="preserve">41. </w:t>
      </w:r>
      <w:r>
        <w:t>Stott E.A., Levine J.M., Wong P.Y.K., Cheung P.Y.K., Yong J. Degradation in FPGAs: Measurement and Modelling // ACM/SIGDA International Symposium on Field Programmable Gate Arrays. – 2010. – P. 229–238. – DOI: 10.1145/1723112.1723151.</w:t>
      </w:r>
    </w:p>
    <w:p>
      <w:pPr>
        <w:ind w:left="567" w:hanging="567"/>
        <w:jc w:val="both"/>
      </w:pPr>
      <w:r>
        <w:rPr>
          <w:b w:val="0"/>
        </w:rPr>
        <w:t xml:space="preserve">42. </w:t>
      </w:r>
      <w:r>
        <w:t>Karl E., Singh P., Blaauw D., Sylvester D. Compact In-situ Sensors for Monitoring Negative-Bias-Temperature-Instability Effect and Oxide Degradation // IEEE International Solid-State Circuits Conference. – 2008. – P. 410–411. – DOI: 10.1109/ISSCC.2008.4523239.</w:t>
      </w:r>
    </w:p>
    <w:p>
      <w:pPr>
        <w:ind w:left="567" w:hanging="567"/>
        <w:jc w:val="both"/>
      </w:pPr>
      <w:r>
        <w:rPr>
          <w:b w:val="0"/>
        </w:rPr>
        <w:t xml:space="preserve">43. </w:t>
      </w:r>
      <w:r>
        <w:t>Шелепин Н.А., Ковалевский А.А., Денисенко В.В. Подсистема SPICE-моделирования характеристик КМОП-схем с учётом эффектов старения // Известия вузов. Электроника. – 2019. – Т. 24, № 6. – С. 542–550. – DOI: 10.24151/1561-5405-2019-24-6-542-550.</w:t>
      </w:r>
    </w:p>
    <w:p>
      <w:pPr>
        <w:ind w:left="567" w:hanging="567"/>
        <w:jc w:val="both"/>
      </w:pPr>
      <w:r>
        <w:rPr>
          <w:b w:val="0"/>
        </w:rPr>
        <w:t xml:space="preserve">44. </w:t>
      </w:r>
      <w:r>
        <w:t>Sutaria K.B., Velamala J.B., Ramkumar A., Cao Y. Compact Modeling for Reliability and Variability of Nanoscale Transistors // IEEE Transactions on Nanotechnology. – 2014. – Vol. 13, № 6. – P. 1118–1126. – DOI: 10.1109/TNANO.2014.2353491.</w:t>
      </w:r>
    </w:p>
    <w:p>
      <w:pPr>
        <w:ind w:left="567" w:hanging="567"/>
        <w:jc w:val="both"/>
      </w:pPr>
      <w:r>
        <w:rPr>
          <w:b w:val="0"/>
        </w:rPr>
        <w:t xml:space="preserve">45. </w:t>
      </w:r>
      <w:r>
        <w:t>Maricau E., Gielen G. Transistor Aging-Induced Degradation of Analog Circuits: Impact Analysis and Design Guidelines // IEEE European Solid-State Circuits Conference. – 2011. – P. 243–246. – DOI: 10.1109/ESSCIRC.2011.6044961.</w:t>
      </w:r>
    </w:p>
    <w:p>
      <w:pPr>
        <w:ind w:left="567" w:hanging="567"/>
        <w:jc w:val="both"/>
      </w:pPr>
      <w:r>
        <w:rPr>
          <w:b w:val="0"/>
        </w:rPr>
        <w:t xml:space="preserve">46. </w:t>
      </w:r>
      <w:r>
        <w:t>Coskun A.K., Strong R., Tullsen D.M., Rosing T.S. Evaluating the impact of job scheduling and power management on processor lifetime for chip multiprocessors // ACM SIGMETRICS. – 2009. – P. 169–180. – DOI: 10.1145/1555349.1555370.</w:t>
      </w:r>
    </w:p>
    <w:p>
      <w:pPr>
        <w:ind w:left="567" w:hanging="567"/>
        <w:jc w:val="both"/>
      </w:pPr>
      <w:r>
        <w:rPr>
          <w:b w:val="0"/>
        </w:rPr>
        <w:t xml:space="preserve">47. </w:t>
      </w:r>
      <w:r>
        <w:t>Lu Y., Shang L., Zhou H., Zhu H., Yang F., Zeng X. Statistical reliability analysis under process variation and aging effects // ACM/IEEE Design Automation Conference. – 2009. – P. 514–519. – DOI: 10.1145/1629911.1630049.</w:t>
      </w:r>
    </w:p>
    <w:p>
      <w:pPr>
        <w:ind w:left="567" w:hanging="567"/>
        <w:jc w:val="both"/>
      </w:pPr>
      <w:r>
        <w:rPr>
          <w:b w:val="0"/>
        </w:rPr>
        <w:t xml:space="preserve">48. </w:t>
      </w:r>
      <w:r>
        <w:t>Wirnshofer M., Heiß L., Georgakos G., Schmitt-Landsiedel D. A Variation-Aware Adaptive Voltage Scaling Technique Based on In-Situ Delay Monitoring // IEEE Design and Diagnostics of Electronic Circuits and Systems. – 2011. – P. 261–266. – DOI: 10.1109/DDECS.2011.5783093.</w:t>
      </w:r>
    </w:p>
    <w:p>
      <w:pPr>
        <w:ind w:left="567" w:hanging="567"/>
        <w:jc w:val="both"/>
      </w:pPr>
      <w:r>
        <w:rPr>
          <w:b w:val="0"/>
        </w:rPr>
        <w:t xml:space="preserve">49. </w:t>
      </w:r>
      <w:r>
        <w:t>Денисов А.Н., Петросянц К.О. Программная оболочка для электротеплового моделирования силовых КМОП-схем // Информационно-управляющие системы. – 2020. – № 6. – С. 86–93. – DOI: 10.31799/1684-8853-2020-6-86-93.</w:t>
      </w:r>
    </w:p>
    <w:p>
      <w:pPr>
        <w:ind w:left="567" w:hanging="567"/>
        <w:jc w:val="both"/>
      </w:pPr>
      <w:r>
        <w:rPr>
          <w:b w:val="0"/>
        </w:rPr>
        <w:t xml:space="preserve">50. </w:t>
      </w:r>
      <w:r>
        <w:t>Петросянц К.О., Харитонов И.А., Самбурский Л.М., Ятманов А.П., Воеводин А.Г. Подсхема для моделирования воздействия одиночных эффектов на КМОП-транзисторы субмикронных технологий // Микроэлектроника. – 2018. – Т. 47, № 2. – С. 149–157. – DOI: 10.7868/S0544126918020084.</w:t>
      </w:r>
    </w:p>
    <w:p>
      <w:pPr>
        <w:ind w:left="567" w:hanging="567"/>
        <w:jc w:val="both"/>
      </w:pPr>
      <w:r>
        <w:rPr>
          <w:b w:val="0"/>
        </w:rPr>
        <w:t xml:space="preserve">51. </w:t>
      </w:r>
      <w:r>
        <w:t>Petrosyants K.O., Kharitonov I.A., Sambursky L.M., Yatmanov A.P. TCAD- and SPICE-modeling of IC and LSI components for radiation and high-temperature applications // International Conference on Microelectronics. – 2017. – P. 263–268. – DOI: 10.1109/MIEL.2017.8190108.</w:t>
      </w:r>
    </w:p>
    <w:p>
      <w:pPr>
        <w:ind w:left="567" w:hanging="567"/>
        <w:jc w:val="both"/>
      </w:pPr>
      <w:r>
        <w:rPr>
          <w:b w:val="0"/>
        </w:rPr>
        <w:t xml:space="preserve">52. </w:t>
      </w:r>
      <w:r>
        <w:t>Cheng Y., Hu C. MOSFET Modeling and BSIM3 User's Guide. – Boston: Kluwer Academic Publishers, 2002. – 447 p. – DOI: 10.1007/b117694.</w:t>
      </w:r>
    </w:p>
    <w:p>
      <w:pPr>
        <w:ind w:left="567" w:hanging="567"/>
        <w:jc w:val="both"/>
      </w:pPr>
      <w:r>
        <w:rPr>
          <w:b w:val="0"/>
        </w:rPr>
        <w:t xml:space="preserve">53. </w:t>
      </w:r>
      <w:r>
        <w:t>Zhao W., Cao Y. New Generation of Predictive Technology Model for Sub-45 nm Early Design Exploration // IEEE Transactions on Electron Devices. – 2006. – Vol. 53, № 11. – P. 2816–2823. – DOI: 10.1109/TED.2006.884077.</w:t>
      </w:r>
    </w:p>
    <w:p>
      <w:pPr>
        <w:ind w:left="567" w:hanging="567"/>
        <w:jc w:val="both"/>
      </w:pPr>
      <w:r>
        <w:rPr>
          <w:b w:val="0"/>
        </w:rPr>
        <w:t xml:space="preserve">54. </w:t>
      </w:r>
      <w:r>
        <w:t>Brocard G. The LTspice IV Simulator: Manual, Methods and Applications. – Munich: Würth Elektronik, 2013. – 744 p.</w:t>
      </w:r>
    </w:p>
    <w:p>
      <w:pPr>
        <w:ind w:left="567" w:hanging="567"/>
        <w:jc w:val="both"/>
      </w:pPr>
      <w:r>
        <w:rPr>
          <w:b w:val="0"/>
        </w:rPr>
        <w:t xml:space="preserve">55. </w:t>
      </w:r>
      <w:r>
        <w:t>Summerfield M. Rapid GUI Programming with Python and Qt: The Definitive Guide to PyQt Programming. – Boston: Prentice Hall, 2007. – 648 p.</w:t>
      </w:r>
    </w:p>
    <w:p>
      <w:pPr>
        <w:pStyle w:val="Heading1"/>
        <w:pageBreakBefore/>
        <w:ind w:firstLine="0"/>
      </w:pPr>
      <w:r>
        <w:t>ПРИЛОЖЕНИЕ А</w:t>
      </w:r>
    </w:p>
    <w:p>
      <w:pPr>
        <w:ind w:firstLine="0"/>
      </w:pPr>
      <w:r>
        <w:rPr>
          <w:b w:val="0"/>
          <w:i w:val="0"/>
        </w:rPr>
        <w:t>Сформированный программой include-файл для тестовой ячейки SRAM 32 нм (V_dd = 1,5 В, все шесть транзисторов отмечены для анализа). Файл подключается к схеме в LTspice директивой .include SRAM_32nm_1GHz-1.inc и обеспечивает выполнение измерений, необходимых для последующего расчёта деградации.</w:t>
      </w:r>
    </w:p>
    <w:p>
      <w:pPr>
        <w:spacing w:line="240" w:lineRule="auto"/>
        <w:ind w:firstLine="0" w:left="0"/>
      </w:pPr>
      <w:r>
        <w:rPr>
          <w:rFonts w:ascii="Consolas" w:hAnsi="Consolas"/>
          <w:sz w:val="18"/>
        </w:rPr>
        <w:t>* Auto-generated MOS Aging Analyzer include for SRAM_32nm_1GHz</w:t>
        <w:br/>
      </w:r>
      <w:r>
        <w:rPr>
          <w:rFonts w:ascii="Consolas" w:hAnsi="Consolas"/>
          <w:sz w:val="18"/>
        </w:rPr>
        <w:t>*    NMOS: 4 транзистора (M1, M2, M5, M6) – HCI</w:t>
        <w:br/>
      </w:r>
      <w:r>
        <w:rPr>
          <w:rFonts w:ascii="Consolas" w:hAnsi="Consolas"/>
          <w:sz w:val="18"/>
        </w:rPr>
        <w:t>*    PMOS: 2 транзистора (M3, M4) – NBTI</w:t>
        <w:br/>
      </w:r>
      <w:r>
        <w:rPr>
          <w:rFonts w:ascii="Consolas" w:hAnsi="Consolas"/>
          <w:sz w:val="18"/>
        </w:rPr>
        <w:br/>
      </w:r>
      <w:r>
        <w:rPr>
          <w:rFonts w:ascii="Consolas" w:hAnsi="Consolas"/>
          <w:sz w:val="18"/>
        </w:rPr>
        <w:t>* === HCI: B-источники тока ударной ионизации ===</w:t>
        <w:br/>
      </w:r>
      <w:r>
        <w:rPr>
          <w:rFonts w:ascii="Consolas" w:hAnsi="Consolas"/>
          <w:sz w:val="18"/>
        </w:rPr>
        <w:t>B1Ib 0 N1Ib I=(1e-5)*Id(M1)*pwr((1/32),2.5)*exp(5.7*(V(Store)-V(0)))*exp(-1.21*(V(Store)-V(StoreN)))</w:t>
        <w:br/>
      </w:r>
      <w:r>
        <w:rPr>
          <w:rFonts w:ascii="Consolas" w:hAnsi="Consolas"/>
          <w:sz w:val="18"/>
        </w:rPr>
        <w:t>R1Ib N1Ib 0 1</w:t>
        <w:br/>
      </w:r>
      <w:r>
        <w:rPr>
          <w:rFonts w:ascii="Consolas" w:hAnsi="Consolas"/>
          <w:sz w:val="18"/>
        </w:rPr>
        <w:t>B2Ib 0 N2Ib I=(1e-5)*Id(M2)*pwr((1/32),2.5)*exp(5.7*(V(StoreN)-V(0)))*exp(-1.21*(V(StoreN)-V(Store)))</w:t>
        <w:br/>
      </w:r>
      <w:r>
        <w:rPr>
          <w:rFonts w:ascii="Consolas" w:hAnsi="Consolas"/>
          <w:sz w:val="18"/>
        </w:rPr>
        <w:t>R2Ib N2Ib 0 1</w:t>
        <w:br/>
      </w:r>
      <w:r>
        <w:rPr>
          <w:rFonts w:ascii="Consolas" w:hAnsi="Consolas"/>
          <w:sz w:val="18"/>
        </w:rPr>
        <w:t>B5Ib 0 N5Ib I=(1e-5)*Id(M5)*pwr((1/32),2.5)*exp(5.7*(V(Bit)-V(Store)))*exp(-1.21*(V(Bit)-V(Word)))</w:t>
        <w:br/>
      </w:r>
      <w:r>
        <w:rPr>
          <w:rFonts w:ascii="Consolas" w:hAnsi="Consolas"/>
          <w:sz w:val="18"/>
        </w:rPr>
        <w:t>R5Ib N5Ib 0 1</w:t>
        <w:br/>
      </w:r>
      <w:r>
        <w:rPr>
          <w:rFonts w:ascii="Consolas" w:hAnsi="Consolas"/>
          <w:sz w:val="18"/>
        </w:rPr>
        <w:t>B6Ib 0 N6Ib I=(1e-5)*Id(M6)*pwr((1/32),2.5)*exp(5.7*(V(BitN)-V(StoreN)))*exp(-1.21*(V(BitN)-V(Word)))</w:t>
        <w:br/>
      </w:r>
      <w:r>
        <w:rPr>
          <w:rFonts w:ascii="Consolas" w:hAnsi="Consolas"/>
          <w:sz w:val="18"/>
        </w:rPr>
        <w:t>R6Ib N6Ib 0 1</w:t>
        <w:br/>
      </w:r>
      <w:r>
        <w:rPr>
          <w:rFonts w:ascii="Consolas" w:hAnsi="Consolas"/>
          <w:sz w:val="18"/>
        </w:rPr>
        <w:br/>
      </w:r>
      <w:r>
        <w:rPr>
          <w:rFonts w:ascii="Consolas" w:hAnsi="Consolas"/>
          <w:sz w:val="18"/>
        </w:rPr>
        <w:t>* === HCI: измерения для NMOS-транзисторов ===</w:t>
        <w:br/>
      </w:r>
      <w:r>
        <w:rPr>
          <w:rFonts w:ascii="Consolas" w:hAnsi="Consolas"/>
          <w:sz w:val="18"/>
        </w:rPr>
        <w:t>.measure tran HCI_M1    integ I(B1Ib)</w:t>
        <w:br/>
      </w:r>
      <w:r>
        <w:rPr>
          <w:rFonts w:ascii="Consolas" w:hAnsi="Consolas"/>
          <w:sz w:val="18"/>
        </w:rPr>
        <w:t>.measure tran maxHCI_M1 max   I(B1Ib)</w:t>
        <w:br/>
      </w:r>
      <w:r>
        <w:rPr>
          <w:rFonts w:ascii="Consolas" w:hAnsi="Consolas"/>
          <w:sz w:val="18"/>
        </w:rPr>
        <w:t>.measure tran maxId_M1  max   Id(M1)</w:t>
        <w:br/>
      </w:r>
      <w:r>
        <w:rPr>
          <w:rFonts w:ascii="Consolas" w:hAnsi="Consolas"/>
          <w:sz w:val="18"/>
        </w:rPr>
        <w:t>.measure tran HCI_M2    integ I(B2Ib)</w:t>
        <w:br/>
      </w:r>
      <w:r>
        <w:rPr>
          <w:rFonts w:ascii="Consolas" w:hAnsi="Consolas"/>
          <w:sz w:val="18"/>
        </w:rPr>
        <w:t>.measure tran maxHCI_M2 max   I(B2Ib)</w:t>
        <w:br/>
      </w:r>
      <w:r>
        <w:rPr>
          <w:rFonts w:ascii="Consolas" w:hAnsi="Consolas"/>
          <w:sz w:val="18"/>
        </w:rPr>
        <w:t>.measure tran maxId_M2  max   Id(M2)</w:t>
        <w:br/>
      </w:r>
      <w:r>
        <w:rPr>
          <w:rFonts w:ascii="Consolas" w:hAnsi="Consolas"/>
          <w:sz w:val="18"/>
        </w:rPr>
        <w:t>.measure tran HCI_M5    integ I(B5Ib)</w:t>
        <w:br/>
      </w:r>
      <w:r>
        <w:rPr>
          <w:rFonts w:ascii="Consolas" w:hAnsi="Consolas"/>
          <w:sz w:val="18"/>
        </w:rPr>
        <w:t>.measure tran maxHCI_M5 max   I(B5Ib)</w:t>
        <w:br/>
      </w:r>
      <w:r>
        <w:rPr>
          <w:rFonts w:ascii="Consolas" w:hAnsi="Consolas"/>
          <w:sz w:val="18"/>
        </w:rPr>
        <w:t>.measure tran maxId_M5  max   Id(M5)</w:t>
        <w:br/>
      </w:r>
      <w:r>
        <w:rPr>
          <w:rFonts w:ascii="Consolas" w:hAnsi="Consolas"/>
          <w:sz w:val="18"/>
        </w:rPr>
        <w:t>.measure tran HCI_M6    integ I(B6Ib)</w:t>
        <w:br/>
      </w:r>
      <w:r>
        <w:rPr>
          <w:rFonts w:ascii="Consolas" w:hAnsi="Consolas"/>
          <w:sz w:val="18"/>
        </w:rPr>
        <w:t>.measure tran maxHCI_M6 max   I(B6Ib)</w:t>
        <w:br/>
      </w:r>
      <w:r>
        <w:rPr>
          <w:rFonts w:ascii="Consolas" w:hAnsi="Consolas"/>
          <w:sz w:val="18"/>
        </w:rPr>
        <w:t>.measure tran maxId_M6  max   Id(M6)</w:t>
        <w:br/>
      </w:r>
      <w:r>
        <w:rPr>
          <w:rFonts w:ascii="Consolas" w:hAnsi="Consolas"/>
          <w:sz w:val="18"/>
        </w:rPr>
        <w:br/>
      </w:r>
      <w:r>
        <w:rPr>
          <w:rFonts w:ascii="Consolas" w:hAnsi="Consolas"/>
          <w:sz w:val="18"/>
        </w:rPr>
        <w:t>* === NBTI: измерения для PMOS-транзисторов ===</w:t>
        <w:br/>
      </w:r>
      <w:r>
        <w:rPr>
          <w:rFonts w:ascii="Consolas" w:hAnsi="Consolas"/>
          <w:sz w:val="18"/>
        </w:rPr>
        <w:t>.measure tran maxNBTIM3 max   ((V(N001)-V(StoreN))*(V(Store)-V(StoreN)))</w:t>
        <w:br/>
      </w:r>
      <w:r>
        <w:rPr>
          <w:rFonts w:ascii="Consolas" w:hAnsi="Consolas"/>
          <w:sz w:val="18"/>
        </w:rPr>
        <w:t>.measure tran NBTIM3    integ ABS(V(N001)-V(StoreN))</w:t>
        <w:br/>
      </w:r>
      <w:r>
        <w:rPr>
          <w:rFonts w:ascii="Consolas" w:hAnsi="Consolas"/>
          <w:sz w:val="18"/>
        </w:rPr>
        <w:t>.measure tran maxNBTIM4 max   ((V(N001)-V(Store))*(V(StoreN)-V(Store)))</w:t>
        <w:br/>
      </w:r>
      <w:r>
        <w:rPr>
          <w:rFonts w:ascii="Consolas" w:hAnsi="Consolas"/>
          <w:sz w:val="18"/>
        </w:rPr>
        <w:t>.measure tran NBTIM4    integ ABS(V(N001)-V(Store))</w:t>
        <w:br/>
      </w:r>
      <w:r>
        <w:rPr>
          <w:rFonts w:ascii="Consolas" w:hAnsi="Consolas"/>
          <w:sz w:val="18"/>
        </w:rPr>
        <w:br/>
      </w:r>
      <w:r>
        <w:rPr>
          <w:rFonts w:ascii="Consolas" w:hAnsi="Consolas"/>
          <w:sz w:val="18"/>
        </w:rPr>
        <w:t>* === конец автоматически сформированного файла ===</w:t>
      </w:r>
    </w:p>
    <w:p>
      <w:pPr>
        <w:pStyle w:val="Heading1"/>
        <w:pageBreakBefore/>
        <w:ind w:firstLine="0"/>
      </w:pPr>
      <w:r>
        <w:t>ПРИЛОЖЕНИЕ Б</w:t>
      </w:r>
    </w:p>
    <w:p>
      <w:pPr>
        <w:ind w:firstLine="0"/>
      </w:pPr>
      <w:r>
        <w:rPr>
          <w:b w:val="0"/>
          <w:i w:val="0"/>
        </w:rPr>
        <w:t>Фрагмент сформированного программой файла models_aged.txt для базового случая (V_dd = 1,5 В, T = 27 °C, срок службы 10 лет). Для каждой исходной модели транзистора сформирован отдельный блок .model для всех использованных категорий деградации (0–3) с соответствующим образом скорректированными значениями vth0 и u0. Полный файл содержит блоки для всех шести транзисторов и помещается в директорию схемы пользователя.</w:t>
      </w:r>
    </w:p>
    <w:p>
      <w:pPr>
        <w:spacing w:line="240" w:lineRule="auto"/>
        <w:ind w:firstLine="0" w:left="0"/>
      </w:pPr>
      <w:r>
        <w:rPr>
          <w:rFonts w:ascii="Consolas" w:hAnsi="Consolas"/>
          <w:sz w:val="18"/>
        </w:rPr>
        <w:t>* === Файл postaged-моделей, сформирован MOS Aging Analyzer ===</w:t>
        <w:br/>
      </w:r>
      <w:r>
        <w:rPr>
          <w:rFonts w:ascii="Consolas" w:hAnsi="Consolas"/>
          <w:sz w:val="18"/>
        </w:rPr>
        <w:t>* Срок службы: 10 лет, T = 27 °C</w:t>
        <w:br/>
      </w:r>
      <w:r>
        <w:rPr>
          <w:rFonts w:ascii="Consolas" w:hAnsi="Consolas"/>
          <w:sz w:val="18"/>
        </w:rPr>
        <w:t>* Категории деградации: 0 – без изменений, 1 – низкая,</w:t>
        <w:br/>
      </w:r>
      <w:r>
        <w:rPr>
          <w:rFonts w:ascii="Consolas" w:hAnsi="Consolas"/>
          <w:sz w:val="18"/>
        </w:rPr>
        <w:t>*                       2 – средняя, 3 – высокая</w:t>
        <w:br/>
      </w:r>
      <w:r>
        <w:rPr>
          <w:rFonts w:ascii="Consolas" w:hAnsi="Consolas"/>
          <w:sz w:val="18"/>
        </w:rPr>
        <w:br/>
      </w:r>
      <w:r>
        <w:rPr>
          <w:rFonts w:ascii="Consolas" w:hAnsi="Consolas"/>
          <w:sz w:val="18"/>
        </w:rPr>
        <w:t>.model nmos1_3 nmos level=14 version=4.0 toxe=1.65e-9</w:t>
        <w:br/>
      </w:r>
      <w:r>
        <w:rPr>
          <w:rFonts w:ascii="Consolas" w:hAnsi="Consolas"/>
          <w:sz w:val="18"/>
        </w:rPr>
        <w:t>+ vth0=0.56278     u0=0.029649     k1=0.353         k2=0.0298</w:t>
        <w:br/>
      </w:r>
      <w:r>
        <w:rPr>
          <w:rFonts w:ascii="Consolas" w:hAnsi="Consolas"/>
          <w:sz w:val="18"/>
        </w:rPr>
        <w:t>+ ... (полный набор BSIM4-параметров без изменений)</w:t>
        <w:br/>
      </w:r>
      <w:r>
        <w:rPr>
          <w:rFonts w:ascii="Consolas" w:hAnsi="Consolas"/>
          <w:sz w:val="18"/>
        </w:rPr>
        <w:br/>
      </w:r>
      <w:r>
        <w:rPr>
          <w:rFonts w:ascii="Consolas" w:hAnsi="Consolas"/>
          <w:sz w:val="18"/>
        </w:rPr>
        <w:t>.model nmos2_3 nmos level=14 version=4.0 toxe=1.65e-9</w:t>
        <w:br/>
      </w:r>
      <w:r>
        <w:rPr>
          <w:rFonts w:ascii="Consolas" w:hAnsi="Consolas"/>
          <w:sz w:val="18"/>
        </w:rPr>
        <w:t>+ vth0=0.55918     u0=0.030183     k1=0.353         k2=0.0298</w:t>
        <w:br/>
      </w:r>
      <w:r>
        <w:rPr>
          <w:rFonts w:ascii="Consolas" w:hAnsi="Consolas"/>
          <w:sz w:val="18"/>
        </w:rPr>
        <w:t>+ ... (полный набор BSIM4-параметров без изменений)</w:t>
        <w:br/>
      </w:r>
      <w:r>
        <w:rPr>
          <w:rFonts w:ascii="Consolas" w:hAnsi="Consolas"/>
          <w:sz w:val="18"/>
        </w:rPr>
        <w:br/>
      </w:r>
      <w:r>
        <w:rPr>
          <w:rFonts w:ascii="Consolas" w:hAnsi="Consolas"/>
          <w:sz w:val="18"/>
        </w:rPr>
        <w:t>.model pmos3_3 pmos level=14 version=4.0 toxe=1.75e-9</w:t>
        <w:br/>
      </w:r>
      <w:r>
        <w:rPr>
          <w:rFonts w:ascii="Consolas" w:hAnsi="Consolas"/>
          <w:sz w:val="18"/>
        </w:rPr>
        <w:t>+ vth0=-0.49050    u0=0.0028021    k1=0.488         k2=-0.05</w:t>
        <w:br/>
      </w:r>
      <w:r>
        <w:rPr>
          <w:rFonts w:ascii="Consolas" w:hAnsi="Consolas"/>
          <w:sz w:val="18"/>
        </w:rPr>
        <w:t>+ ... (полный набор BSIM4-параметров без изменений)</w:t>
        <w:br/>
      </w:r>
      <w:r>
        <w:rPr>
          <w:rFonts w:ascii="Consolas" w:hAnsi="Consolas"/>
          <w:sz w:val="18"/>
        </w:rPr>
        <w:br/>
      </w:r>
      <w:r>
        <w:rPr>
          <w:rFonts w:ascii="Consolas" w:hAnsi="Consolas"/>
          <w:sz w:val="18"/>
        </w:rPr>
        <w:t>.model pmos4_3 pmos level=14 version=4.0 toxe=1.75e-9</w:t>
        <w:br/>
      </w:r>
      <w:r>
        <w:rPr>
          <w:rFonts w:ascii="Consolas" w:hAnsi="Consolas"/>
          <w:sz w:val="18"/>
        </w:rPr>
        <w:t>+ vth0=-0.49050    u0=0.0028021    k1=0.488         k2=-0.05</w:t>
        <w:br/>
      </w:r>
      <w:r>
        <w:rPr>
          <w:rFonts w:ascii="Consolas" w:hAnsi="Consolas"/>
          <w:sz w:val="18"/>
        </w:rPr>
        <w:t>+ ... (полный набор BSIM4-параметров без изменений)</w:t>
      </w:r>
    </w:p>
    <w:p>
      <w:pPr>
        <w:pStyle w:val="Heading1"/>
        <w:pageBreakBefore/>
        <w:ind w:firstLine="0"/>
      </w:pPr>
      <w:r>
        <w:t>ПРИЛОЖЕНИЕ В</w:t>
      </w:r>
    </w:p>
    <w:p>
      <w:pPr>
        <w:ind w:firstLine="0"/>
      </w:pPr>
      <w:r>
        <w:rPr>
          <w:b w:val="0"/>
          <w:i w:val="0"/>
        </w:rPr>
        <w:t>Полный листинг функции calculate_nbti (модуль core/aging.py), реализующей расчёт сдвига порогового напряжения и поправочного коэффициента подвижности для PMOS-транзисторов по compact-модели NBTI на основе формул (5)–(8).</w:t>
      </w:r>
    </w:p>
    <w:p>
      <w:pPr>
        <w:spacing w:line="240" w:lineRule="auto"/>
        <w:ind w:firstLine="0" w:left="0"/>
      </w:pPr>
      <w:r>
        <w:rPr>
          <w:rFonts w:ascii="Consolas" w:hAnsi="Consolas"/>
          <w:sz w:val="18"/>
        </w:rPr>
        <w:t>def calculate_nbti(</w:t>
        <w:br/>
      </w:r>
      <w:r>
        <w:rPr>
          <w:rFonts w:ascii="Consolas" w:hAnsi="Consolas"/>
          <w:sz w:val="18"/>
        </w:rPr>
        <w:t xml:space="preserve">    transistor: Transistor,</w:t>
        <w:br/>
      </w:r>
      <w:r>
        <w:rPr>
          <w:rFonts w:ascii="Consolas" w:hAnsi="Consolas"/>
          <w:sz w:val="18"/>
        </w:rPr>
        <w:t xml:space="preserve">    log: LogData,</w:t>
        <w:br/>
      </w:r>
      <w:r>
        <w:rPr>
          <w:rFonts w:ascii="Consolas" w:hAnsi="Consolas"/>
          <w:sz w:val="18"/>
        </w:rPr>
        <w:t xml:space="preserve">    tox_pmos: float,</w:t>
        <w:br/>
      </w:r>
      <w:r>
        <w:rPr>
          <w:rFonts w:ascii="Consolas" w:hAnsi="Consolas"/>
          <w:sz w:val="18"/>
        </w:rPr>
        <w:t xml:space="preserve">    vth_pmos: float,</w:t>
        <w:br/>
      </w:r>
      <w:r>
        <w:rPr>
          <w:rFonts w:ascii="Consolas" w:hAnsi="Consolas"/>
          <w:sz w:val="18"/>
        </w:rPr>
        <w:t xml:space="preserve">    target_years: float,</w:t>
        <w:br/>
      </w:r>
      <w:r>
        <w:rPr>
          <w:rFonts w:ascii="Consolas" w:hAnsi="Consolas"/>
          <w:sz w:val="18"/>
        </w:rPr>
        <w:t>) -&gt; TransistorAgingResult:</w:t>
        <w:br/>
      </w:r>
      <w:r>
        <w:rPr>
          <w:rFonts w:ascii="Consolas" w:hAnsi="Consolas"/>
          <w:sz w:val="18"/>
        </w:rPr>
        <w:t xml:space="preserve">    """</w:t>
        <w:br/>
      </w:r>
      <w:r>
        <w:rPr>
          <w:rFonts w:ascii="Consolas" w:hAnsi="Consolas"/>
          <w:sz w:val="18"/>
        </w:rPr>
        <w:t xml:space="preserve">    Рассчитывает деградацию PMOS-транзистора по модели NBTI.</w:t>
        <w:br/>
      </w:r>
      <w:r>
        <w:rPr>
          <w:rFonts w:ascii="Consolas" w:hAnsi="Consolas"/>
          <w:sz w:val="18"/>
        </w:rPr>
        <w:t xml:space="preserve">    """</w:t>
        <w:br/>
      </w:r>
      <w:r>
        <w:rPr>
          <w:rFonts w:ascii="Consolas" w:hAnsi="Consolas"/>
          <w:sz w:val="18"/>
        </w:rPr>
        <w:t xml:space="preserve">    result = TransistorAgingResult(</w:t>
        <w:br/>
      </w:r>
      <w:r>
        <w:rPr>
          <w:rFonts w:ascii="Consolas" w:hAnsi="Consolas"/>
          <w:sz w:val="18"/>
        </w:rPr>
        <w:t xml:space="preserve">        name=transistor.name,</w:t>
        <w:br/>
      </w:r>
      <w:r>
        <w:rPr>
          <w:rFonts w:ascii="Consolas" w:hAnsi="Consolas"/>
          <w:sz w:val="18"/>
        </w:rPr>
        <w:t xml:space="preserve">        channel="PMOS",</w:t>
        <w:br/>
      </w:r>
      <w:r>
        <w:rPr>
          <w:rFonts w:ascii="Consolas" w:hAnsi="Consolas"/>
          <w:sz w:val="18"/>
        </w:rPr>
        <w:t xml:space="preserve">        sim_time_s=log.sim_time_s,</w:t>
        <w:br/>
      </w:r>
      <w:r>
        <w:rPr>
          <w:rFonts w:ascii="Consolas" w:hAnsi="Consolas"/>
          <w:sz w:val="18"/>
        </w:rPr>
        <w:t xml:space="preserve">    )</w:t>
        <w:br/>
      </w:r>
      <w:r>
        <w:rPr>
          <w:rFonts w:ascii="Consolas" w:hAnsi="Consolas"/>
          <w:sz w:val="18"/>
        </w:rPr>
        <w:t xml:space="preserve">    kelvin = 273 + log.temperature_c</w:t>
        <w:br/>
      </w:r>
      <w:r>
        <w:rPr>
          <w:rFonts w:ascii="Consolas" w:hAnsi="Consolas"/>
          <w:sz w:val="18"/>
        </w:rPr>
        <w:t xml:space="preserve">    years_s = _SECONDS_PER_YEAR * target_years</w:t>
        <w:br/>
      </w:r>
      <w:r>
        <w:rPr>
          <w:rFonts w:ascii="Consolas" w:hAnsi="Consolas"/>
          <w:sz w:val="18"/>
        </w:rPr>
        <w:t xml:space="preserve">    n_exp = 1 / 6  # показатель степени NBTI</w:t>
        <w:br/>
      </w:r>
      <w:r>
        <w:rPr>
          <w:rFonts w:ascii="Consolas" w:hAnsi="Consolas"/>
          <w:sz w:val="18"/>
        </w:rPr>
        <w:br/>
      </w:r>
      <w:r>
        <w:rPr>
          <w:rFonts w:ascii="Consolas" w:hAnsi="Consolas"/>
          <w:sz w:val="18"/>
        </w:rPr>
        <w:t xml:space="preserve">    name_lower = transistor.name.lower()</w:t>
        <w:br/>
      </w:r>
      <w:r>
        <w:rPr>
          <w:rFonts w:ascii="Consolas" w:hAnsi="Consolas"/>
          <w:sz w:val="18"/>
        </w:rPr>
        <w:t xml:space="preserve">    key_integ = f"nbti{name_lower}"</w:t>
        <w:br/>
      </w:r>
      <w:r>
        <w:rPr>
          <w:rFonts w:ascii="Consolas" w:hAnsi="Consolas"/>
          <w:sz w:val="18"/>
        </w:rPr>
        <w:t xml:space="preserve">    key_max   = f"maxnbti{name_lower}"</w:t>
        <w:br/>
      </w:r>
      <w:r>
        <w:rPr>
          <w:rFonts w:ascii="Consolas" w:hAnsi="Consolas"/>
          <w:sz w:val="18"/>
        </w:rPr>
        <w:br/>
      </w:r>
      <w:r>
        <w:rPr>
          <w:rFonts w:ascii="Consolas" w:hAnsi="Consolas"/>
          <w:sz w:val="18"/>
        </w:rPr>
        <w:t xml:space="preserve">    meas_integ = log.measurements.get(key_integ)</w:t>
        <w:br/>
      </w:r>
      <w:r>
        <w:rPr>
          <w:rFonts w:ascii="Consolas" w:hAnsi="Consolas"/>
          <w:sz w:val="18"/>
        </w:rPr>
        <w:t xml:space="preserve">    meas_max   = log.measurements.get(key_max)</w:t>
        <w:br/>
      </w:r>
      <w:r>
        <w:rPr>
          <w:rFonts w:ascii="Consolas" w:hAnsi="Consolas"/>
          <w:sz w:val="18"/>
        </w:rPr>
        <w:br/>
      </w:r>
      <w:r>
        <w:rPr>
          <w:rFonts w:ascii="Consolas" w:hAnsi="Consolas"/>
          <w:sz w:val="18"/>
        </w:rPr>
        <w:t xml:space="preserve">    if meas_integ is None or meas_max is None or log.sim_time_s == 0:</w:t>
        <w:br/>
      </w:r>
      <w:r>
        <w:rPr>
          <w:rFonts w:ascii="Consolas" w:hAnsi="Consolas"/>
          <w:sz w:val="18"/>
        </w:rPr>
        <w:t xml:space="preserve">        return result</w:t>
        <w:br/>
      </w:r>
      <w:r>
        <w:rPr>
          <w:rFonts w:ascii="Consolas" w:hAnsi="Consolas"/>
          <w:sz w:val="18"/>
        </w:rPr>
        <w:br/>
      </w:r>
      <w:r>
        <w:rPr>
          <w:rFonts w:ascii="Consolas" w:hAnsi="Consolas"/>
          <w:sz w:val="18"/>
        </w:rPr>
        <w:t xml:space="preserve">    integ_val = meas_integ.value</w:t>
        <w:br/>
      </w:r>
      <w:r>
        <w:rPr>
          <w:rFonts w:ascii="Consolas" w:hAnsi="Consolas"/>
          <w:sz w:val="18"/>
        </w:rPr>
        <w:t xml:space="preserve">    max_val   = meas_max.value</w:t>
        <w:br/>
      </w:r>
      <w:r>
        <w:rPr>
          <w:rFonts w:ascii="Consolas" w:hAnsi="Consolas"/>
          <w:sz w:val="18"/>
        </w:rPr>
        <w:br/>
      </w:r>
      <w:r>
        <w:rPr>
          <w:rFonts w:ascii="Consolas" w:hAnsi="Consolas"/>
          <w:sz w:val="18"/>
        </w:rPr>
        <w:t xml:space="preserve">    if max_val == 0:</w:t>
        <w:br/>
      </w:r>
      <w:r>
        <w:rPr>
          <w:rFonts w:ascii="Consolas" w:hAnsi="Consolas"/>
          <w:sz w:val="18"/>
        </w:rPr>
        <w:t xml:space="preserve">        return result</w:t>
        <w:br/>
      </w:r>
      <w:r>
        <w:rPr>
          <w:rFonts w:ascii="Consolas" w:hAnsi="Consolas"/>
          <w:sz w:val="18"/>
        </w:rPr>
        <w:br/>
      </w:r>
      <w:r>
        <w:rPr>
          <w:rFonts w:ascii="Consolas" w:hAnsi="Consolas"/>
          <w:sz w:val="18"/>
        </w:rPr>
        <w:t xml:space="preserve">    active_time = integ_val / max_val</w:t>
        <w:br/>
      </w:r>
      <w:r>
        <w:rPr>
          <w:rFonts w:ascii="Consolas" w:hAnsi="Consolas"/>
          <w:sz w:val="18"/>
        </w:rPr>
        <w:t xml:space="preserve">    ratio = active_time / log.sim_time_s</w:t>
        <w:br/>
      </w:r>
      <w:r>
        <w:rPr>
          <w:rFonts w:ascii="Consolas" w:hAnsi="Consolas"/>
          <w:sz w:val="18"/>
        </w:rPr>
        <w:br/>
      </w:r>
      <w:r>
        <w:rPr>
          <w:rFonts w:ascii="Consolas" w:hAnsi="Consolas"/>
          <w:sz w:val="18"/>
        </w:rPr>
        <w:t xml:space="preserve">    kv = _nbti_kv(abs(max_val), vth_pmos, tox_pmos, kelvin)</w:t>
        <w:br/>
      </w:r>
      <w:r>
        <w:rPr>
          <w:rFonts w:ascii="Consolas" w:hAnsi="Consolas"/>
          <w:sz w:val="18"/>
        </w:rPr>
        <w:t xml:space="preserve">    raw = kv * ((ratio * 2 * years_s) ** 0.5)</w:t>
        <w:br/>
      </w:r>
      <w:r>
        <w:rPr>
          <w:rFonts w:ascii="Consolas" w:hAnsi="Consolas"/>
          <w:sz w:val="18"/>
        </w:rPr>
        <w:t xml:space="preserve">    delta_vth = 0.7 * (raw ** (2 * n_exp)) if raw &gt; 0 else 0.0</w:t>
        <w:br/>
      </w:r>
      <w:r>
        <w:rPr>
          <w:rFonts w:ascii="Consolas" w:hAnsi="Consolas"/>
          <w:sz w:val="18"/>
        </w:rPr>
        <w:br/>
      </w:r>
      <w:r>
        <w:rPr>
          <w:rFonts w:ascii="Consolas" w:hAnsi="Consolas"/>
          <w:sz w:val="18"/>
        </w:rPr>
        <w:t xml:space="preserve">    eps_ox = _EPSILON_SI02 * _EPSILON_0</w:t>
        <w:br/>
      </w:r>
      <w:r>
        <w:rPr>
          <w:rFonts w:ascii="Consolas" w:hAnsi="Consolas"/>
          <w:sz w:val="18"/>
        </w:rPr>
        <w:t xml:space="preserve">    mobility_factor = 1 + (0.24e-16) * (</w:t>
        <w:br/>
      </w:r>
      <w:r>
        <w:rPr>
          <w:rFonts w:ascii="Consolas" w:hAnsi="Consolas"/>
          <w:sz w:val="18"/>
        </w:rPr>
        <w:t xml:space="preserve">        (delta_vth * eps_ox / tox_pmos) / _Q_ELECTRON)</w:t>
        <w:br/>
      </w:r>
      <w:r>
        <w:rPr>
          <w:rFonts w:ascii="Consolas" w:hAnsi="Consolas"/>
          <w:sz w:val="18"/>
        </w:rPr>
        <w:br/>
      </w:r>
      <w:r>
        <w:rPr>
          <w:rFonts w:ascii="Consolas" w:hAnsi="Consolas"/>
          <w:sz w:val="18"/>
        </w:rPr>
        <w:t xml:space="preserve">    result.nbti_active_time_s = active_time</w:t>
        <w:br/>
      </w:r>
      <w:r>
        <w:rPr>
          <w:rFonts w:ascii="Consolas" w:hAnsi="Consolas"/>
          <w:sz w:val="18"/>
        </w:rPr>
        <w:t xml:space="preserve">    result.nbti_ratio = ratio</w:t>
        <w:br/>
      </w:r>
      <w:r>
        <w:rPr>
          <w:rFonts w:ascii="Consolas" w:hAnsi="Consolas"/>
          <w:sz w:val="18"/>
        </w:rPr>
        <w:t xml:space="preserve">    result.nbti_delta_vth_v = delta_vth</w:t>
        <w:br/>
      </w:r>
      <w:r>
        <w:rPr>
          <w:rFonts w:ascii="Consolas" w:hAnsi="Consolas"/>
          <w:sz w:val="18"/>
        </w:rPr>
        <w:t xml:space="preserve">    result.nbti_mobility_factor = mobility_factor</w:t>
        <w:br/>
      </w:r>
      <w:r>
        <w:rPr>
          <w:rFonts w:ascii="Consolas" w:hAnsi="Consolas"/>
          <w:sz w:val="18"/>
        </w:rPr>
        <w:t xml:space="preserve">    return result</w:t>
      </w:r>
    </w:p>
    <w:p>
      <w:pPr>
        <w:pStyle w:val="Heading1"/>
        <w:pageBreakBefore/>
        <w:ind w:firstLine="0"/>
      </w:pPr>
      <w:r>
        <w:t>ПРИЛОЖЕНИЕ Г</w:t>
      </w:r>
    </w:p>
    <w:p>
      <w:pPr>
        <w:ind w:firstLine="0"/>
      </w:pPr>
      <w:r>
        <w:rPr>
          <w:b w:val="0"/>
          <w:i w:val="0"/>
        </w:rPr>
        <w:t>Состав программного обеспечения «MOS Aging Analyzer». Указанный набор файлов является полной кодовой базой инструмента и может быть собран в автономный исполняемый файл для платформы Windows упаковщиком PyInstaller с использованием spec-файла MOS_Aging_Analyzer.spec, присутствующего в корне проекта.</w:t>
      </w:r>
    </w:p>
    <w:p>
      <w:pPr>
        <w:spacing w:before="120"/>
        <w:ind w:firstLine="0"/>
        <w:jc w:val="left"/>
      </w:pPr>
      <w:r>
        <w:t>Таблица 6 – Состав исходной кодовой базы инструмента «MOS Aging Analyzer»</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Файл / директория</w:t>
            </w:r>
          </w:p>
        </w:tc>
        <w:tc>
          <w:tcPr>
            <w:tcW w:type="dxa" w:w="4252"/>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Назначение</w:t>
            </w:r>
          </w:p>
        </w:tc>
        <w:tc>
          <w:tcPr>
            <w:tcW w:type="dxa" w:w="1701"/>
            <w:shd w:val="clear" w:color="auto" w:fill="EEEEEE"/>
            <w:tcBorders>
              <w:top w:val="single" w:sz="4" w:color="000000"/>
              <w:left w:val="single" w:sz="4" w:color="000000"/>
              <w:bottom w:val="single" w:sz="4" w:color="000000"/>
              <w:right w:val="single" w:sz="4" w:color="000000"/>
            </w:tcBorders>
          </w:tcPr>
          <w:p>
            <w:pPr>
              <w:ind w:firstLine="0"/>
              <w:jc w:val="center"/>
            </w:pPr>
            <w:r/>
            <w:r>
              <w:rPr>
                <w:b/>
                <w:sz w:val="24"/>
              </w:rPr>
              <w:t>Объём, строк</w:t>
            </w:r>
          </w:p>
        </w:tc>
      </w:tr>
      <w:tr>
        <w:tc>
          <w:tcPr>
            <w:tcW w:type="dxa" w:w="3118"/>
            <w:tcBorders>
              <w:top w:val="single" w:sz="4" w:color="000000"/>
              <w:left w:val="single" w:sz="4" w:color="000000"/>
              <w:bottom w:val="single" w:sz="4" w:color="000000"/>
              <w:right w:val="single" w:sz="4" w:color="000000"/>
            </w:tcBorders>
          </w:tcPr>
          <w:p>
            <w:pPr>
              <w:ind w:firstLine="0"/>
              <w:jc w:val="center"/>
            </w:pPr>
            <w:r/>
            <w:r>
              <w:rPr>
                <w:sz w:val="22"/>
              </w:rPr>
              <w:t>main.py</w:t>
            </w:r>
          </w:p>
        </w:tc>
        <w:tc>
          <w:tcPr>
            <w:tcW w:type="dxa" w:w="4252"/>
            <w:tcBorders>
              <w:top w:val="single" w:sz="4" w:color="000000"/>
              <w:left w:val="single" w:sz="4" w:color="000000"/>
              <w:bottom w:val="single" w:sz="4" w:color="000000"/>
              <w:right w:val="single" w:sz="4" w:color="000000"/>
            </w:tcBorders>
          </w:tcPr>
          <w:p>
            <w:pPr>
              <w:ind w:firstLine="0"/>
              <w:jc w:val="center"/>
            </w:pPr>
            <w:r/>
            <w:r>
              <w:rPr>
                <w:sz w:val="22"/>
              </w:rPr>
              <w:t>Точка входа, инициализация PyQt-приложения</w:t>
            </w:r>
          </w:p>
        </w:tc>
        <w:tc>
          <w:tcPr>
            <w:tcW w:type="dxa" w:w="1701"/>
            <w:tcBorders>
              <w:top w:val="single" w:sz="4" w:color="000000"/>
              <w:left w:val="single" w:sz="4" w:color="000000"/>
              <w:bottom w:val="single" w:sz="4" w:color="000000"/>
              <w:right w:val="single" w:sz="4" w:color="000000"/>
            </w:tcBorders>
          </w:tcPr>
          <w:p>
            <w:pPr>
              <w:ind w:firstLine="0"/>
              <w:jc w:val="center"/>
            </w:pPr>
            <w:r/>
            <w:r>
              <w:rPr>
                <w:sz w:val="22"/>
              </w:rPr>
              <w:t>29</w:t>
            </w:r>
          </w:p>
        </w:tc>
      </w:tr>
      <w:tr>
        <w:tc>
          <w:tcPr>
            <w:tcW w:type="dxa" w:w="3118"/>
            <w:tcBorders>
              <w:top w:val="single" w:sz="4" w:color="000000"/>
              <w:left w:val="single" w:sz="4" w:color="000000"/>
              <w:bottom w:val="single" w:sz="4" w:color="000000"/>
              <w:right w:val="single" w:sz="4" w:color="000000"/>
            </w:tcBorders>
          </w:tcPr>
          <w:p>
            <w:pPr>
              <w:ind w:firstLine="0"/>
              <w:jc w:val="center"/>
            </w:pPr>
            <w:r/>
            <w:r>
              <w:rPr>
                <w:sz w:val="22"/>
              </w:rPr>
              <w:t>core/netlist_parser.py</w:t>
            </w:r>
          </w:p>
        </w:tc>
        <w:tc>
          <w:tcPr>
            <w:tcW w:type="dxa" w:w="4252"/>
            <w:tcBorders>
              <w:top w:val="single" w:sz="4" w:color="000000"/>
              <w:left w:val="single" w:sz="4" w:color="000000"/>
              <w:bottom w:val="single" w:sz="4" w:color="000000"/>
              <w:right w:val="single" w:sz="4" w:color="000000"/>
            </w:tcBorders>
          </w:tcPr>
          <w:p>
            <w:pPr>
              <w:ind w:firstLine="0"/>
              <w:jc w:val="center"/>
            </w:pPr>
            <w:r/>
            <w:r>
              <w:rPr>
                <w:sz w:val="22"/>
              </w:rPr>
              <w:t>Разбор netlist и Spice Error Log, генерация include-файла</w:t>
            </w:r>
          </w:p>
        </w:tc>
        <w:tc>
          <w:tcPr>
            <w:tcW w:type="dxa" w:w="1701"/>
            <w:tcBorders>
              <w:top w:val="single" w:sz="4" w:color="000000"/>
              <w:left w:val="single" w:sz="4" w:color="000000"/>
              <w:bottom w:val="single" w:sz="4" w:color="000000"/>
              <w:right w:val="single" w:sz="4" w:color="000000"/>
            </w:tcBorders>
          </w:tcPr>
          <w:p>
            <w:pPr>
              <w:ind w:firstLine="0"/>
              <w:jc w:val="center"/>
            </w:pPr>
            <w:r/>
            <w:r>
              <w:rPr>
                <w:sz w:val="22"/>
              </w:rPr>
              <w:t>355</w:t>
            </w:r>
          </w:p>
        </w:tc>
      </w:tr>
      <w:tr>
        <w:tc>
          <w:tcPr>
            <w:tcW w:type="dxa" w:w="3118"/>
            <w:tcBorders>
              <w:top w:val="single" w:sz="4" w:color="000000"/>
              <w:left w:val="single" w:sz="4" w:color="000000"/>
              <w:bottom w:val="single" w:sz="4" w:color="000000"/>
              <w:right w:val="single" w:sz="4" w:color="000000"/>
            </w:tcBorders>
          </w:tcPr>
          <w:p>
            <w:pPr>
              <w:ind w:firstLine="0"/>
              <w:jc w:val="center"/>
            </w:pPr>
            <w:r/>
            <w:r>
              <w:rPr>
                <w:sz w:val="22"/>
              </w:rPr>
              <w:t>core/aging.py</w:t>
            </w:r>
          </w:p>
        </w:tc>
        <w:tc>
          <w:tcPr>
            <w:tcW w:type="dxa" w:w="4252"/>
            <w:tcBorders>
              <w:top w:val="single" w:sz="4" w:color="000000"/>
              <w:left w:val="single" w:sz="4" w:color="000000"/>
              <w:bottom w:val="single" w:sz="4" w:color="000000"/>
              <w:right w:val="single" w:sz="4" w:color="000000"/>
            </w:tcBorders>
          </w:tcPr>
          <w:p>
            <w:pPr>
              <w:ind w:firstLine="0"/>
              <w:jc w:val="center"/>
            </w:pPr>
            <w:r/>
            <w:r>
              <w:rPr>
                <w:sz w:val="22"/>
              </w:rPr>
              <w:t>Compact-модели HCI и NBTI, категоризация деградации</w:t>
            </w:r>
          </w:p>
        </w:tc>
        <w:tc>
          <w:tcPr>
            <w:tcW w:type="dxa" w:w="1701"/>
            <w:tcBorders>
              <w:top w:val="single" w:sz="4" w:color="000000"/>
              <w:left w:val="single" w:sz="4" w:color="000000"/>
              <w:bottom w:val="single" w:sz="4" w:color="000000"/>
              <w:right w:val="single" w:sz="4" w:color="000000"/>
            </w:tcBorders>
          </w:tcPr>
          <w:p>
            <w:pPr>
              <w:ind w:firstLine="0"/>
              <w:jc w:val="center"/>
            </w:pPr>
            <w:r/>
            <w:r>
              <w:rPr>
                <w:sz w:val="22"/>
              </w:rPr>
              <w:t>262</w:t>
            </w:r>
          </w:p>
        </w:tc>
      </w:tr>
      <w:tr>
        <w:tc>
          <w:tcPr>
            <w:tcW w:type="dxa" w:w="3118"/>
            <w:tcBorders>
              <w:top w:val="single" w:sz="4" w:color="000000"/>
              <w:left w:val="single" w:sz="4" w:color="000000"/>
              <w:bottom w:val="single" w:sz="4" w:color="000000"/>
              <w:right w:val="single" w:sz="4" w:color="000000"/>
            </w:tcBorders>
          </w:tcPr>
          <w:p>
            <w:pPr>
              <w:ind w:firstLine="0"/>
              <w:jc w:val="center"/>
            </w:pPr>
            <w:r/>
            <w:r>
              <w:rPr>
                <w:sz w:val="22"/>
              </w:rPr>
              <w:t>core/netlist_writer.py</w:t>
            </w:r>
          </w:p>
        </w:tc>
        <w:tc>
          <w:tcPr>
            <w:tcW w:type="dxa" w:w="4252"/>
            <w:tcBorders>
              <w:top w:val="single" w:sz="4" w:color="000000"/>
              <w:left w:val="single" w:sz="4" w:color="000000"/>
              <w:bottom w:val="single" w:sz="4" w:color="000000"/>
              <w:right w:val="single" w:sz="4" w:color="000000"/>
            </w:tcBorders>
          </w:tcPr>
          <w:p>
            <w:pPr>
              <w:ind w:firstLine="0"/>
              <w:jc w:val="center"/>
            </w:pPr>
            <w:r/>
            <w:r>
              <w:rPr>
                <w:sz w:val="22"/>
              </w:rPr>
              <w:t>Запись постаревшего netlist и файла models_aged.txt</w:t>
            </w:r>
          </w:p>
        </w:tc>
        <w:tc>
          <w:tcPr>
            <w:tcW w:type="dxa" w:w="1701"/>
            <w:tcBorders>
              <w:top w:val="single" w:sz="4" w:color="000000"/>
              <w:left w:val="single" w:sz="4" w:color="000000"/>
              <w:bottom w:val="single" w:sz="4" w:color="000000"/>
              <w:right w:val="single" w:sz="4" w:color="000000"/>
            </w:tcBorders>
          </w:tcPr>
          <w:p>
            <w:pPr>
              <w:ind w:firstLine="0"/>
              <w:jc w:val="center"/>
            </w:pPr>
            <w:r/>
            <w:r>
              <w:rPr>
                <w:sz w:val="22"/>
              </w:rPr>
              <w:t>285</w:t>
            </w:r>
          </w:p>
        </w:tc>
      </w:tr>
      <w:tr>
        <w:tc>
          <w:tcPr>
            <w:tcW w:type="dxa" w:w="3118"/>
            <w:tcBorders>
              <w:top w:val="single" w:sz="4" w:color="000000"/>
              <w:left w:val="single" w:sz="4" w:color="000000"/>
              <w:bottom w:val="single" w:sz="4" w:color="000000"/>
              <w:right w:val="single" w:sz="4" w:color="000000"/>
            </w:tcBorders>
          </w:tcPr>
          <w:p>
            <w:pPr>
              <w:ind w:firstLine="0"/>
              <w:jc w:val="center"/>
            </w:pPr>
            <w:r/>
            <w:r>
              <w:rPr>
                <w:sz w:val="22"/>
              </w:rPr>
              <w:t>core/report.py</w:t>
            </w:r>
          </w:p>
        </w:tc>
        <w:tc>
          <w:tcPr>
            <w:tcW w:type="dxa" w:w="4252"/>
            <w:tcBorders>
              <w:top w:val="single" w:sz="4" w:color="000000"/>
              <w:left w:val="single" w:sz="4" w:color="000000"/>
              <w:bottom w:val="single" w:sz="4" w:color="000000"/>
              <w:right w:val="single" w:sz="4" w:color="000000"/>
            </w:tcBorders>
          </w:tcPr>
          <w:p>
            <w:pPr>
              <w:ind w:firstLine="0"/>
              <w:jc w:val="center"/>
            </w:pPr>
            <w:r/>
            <w:r>
              <w:rPr>
                <w:sz w:val="22"/>
              </w:rPr>
              <w:t>Формирование HTML-отчёта</w:t>
            </w:r>
          </w:p>
        </w:tc>
        <w:tc>
          <w:tcPr>
            <w:tcW w:type="dxa" w:w="1701"/>
            <w:tcBorders>
              <w:top w:val="single" w:sz="4" w:color="000000"/>
              <w:left w:val="single" w:sz="4" w:color="000000"/>
              <w:bottom w:val="single" w:sz="4" w:color="000000"/>
              <w:right w:val="single" w:sz="4" w:color="000000"/>
            </w:tcBorders>
          </w:tcPr>
          <w:p>
            <w:pPr>
              <w:ind w:firstLine="0"/>
              <w:jc w:val="center"/>
            </w:pPr>
            <w:r/>
            <w:r>
              <w:rPr>
                <w:sz w:val="22"/>
              </w:rPr>
              <w:t>558</w:t>
            </w:r>
          </w:p>
        </w:tc>
      </w:tr>
      <w:tr>
        <w:tc>
          <w:tcPr>
            <w:tcW w:type="dxa" w:w="3118"/>
            <w:tcBorders>
              <w:top w:val="single" w:sz="4" w:color="000000"/>
              <w:left w:val="single" w:sz="4" w:color="000000"/>
              <w:bottom w:val="single" w:sz="4" w:color="000000"/>
              <w:right w:val="single" w:sz="4" w:color="000000"/>
            </w:tcBorders>
          </w:tcPr>
          <w:p>
            <w:pPr>
              <w:ind w:firstLine="0"/>
              <w:jc w:val="center"/>
            </w:pPr>
            <w:r/>
            <w:r>
              <w:rPr>
                <w:sz w:val="22"/>
              </w:rPr>
              <w:t>core/temperature_analysis.py</w:t>
            </w:r>
          </w:p>
        </w:tc>
        <w:tc>
          <w:tcPr>
            <w:tcW w:type="dxa" w:w="4252"/>
            <w:tcBorders>
              <w:top w:val="single" w:sz="4" w:color="000000"/>
              <w:left w:val="single" w:sz="4" w:color="000000"/>
              <w:bottom w:val="single" w:sz="4" w:color="000000"/>
              <w:right w:val="single" w:sz="4" w:color="000000"/>
            </w:tcBorders>
          </w:tcPr>
          <w:p>
            <w:pPr>
              <w:ind w:firstLine="0"/>
              <w:jc w:val="center"/>
            </w:pPr>
            <w:r/>
            <w:r>
              <w:rPr>
                <w:sz w:val="22"/>
              </w:rPr>
              <w:t>Температурный пересчёт по Аррениусу для HCI и Kv для NBTI</w:t>
            </w:r>
          </w:p>
        </w:tc>
        <w:tc>
          <w:tcPr>
            <w:tcW w:type="dxa" w:w="1701"/>
            <w:tcBorders>
              <w:top w:val="single" w:sz="4" w:color="000000"/>
              <w:left w:val="single" w:sz="4" w:color="000000"/>
              <w:bottom w:val="single" w:sz="4" w:color="000000"/>
              <w:right w:val="single" w:sz="4" w:color="000000"/>
            </w:tcBorders>
          </w:tcPr>
          <w:p>
            <w:pPr>
              <w:ind w:firstLine="0"/>
              <w:jc w:val="center"/>
            </w:pPr>
            <w:r/>
            <w:r>
              <w:rPr>
                <w:sz w:val="22"/>
              </w:rPr>
              <w:t>278</w:t>
            </w:r>
          </w:p>
        </w:tc>
      </w:tr>
      <w:tr>
        <w:tc>
          <w:tcPr>
            <w:tcW w:type="dxa" w:w="3118"/>
            <w:tcBorders>
              <w:top w:val="single" w:sz="4" w:color="000000"/>
              <w:left w:val="single" w:sz="4" w:color="000000"/>
              <w:bottom w:val="single" w:sz="4" w:color="000000"/>
              <w:right w:val="single" w:sz="4" w:color="000000"/>
            </w:tcBorders>
          </w:tcPr>
          <w:p>
            <w:pPr>
              <w:ind w:firstLine="0"/>
              <w:jc w:val="center"/>
            </w:pPr>
            <w:r/>
            <w:r>
              <w:rPr>
                <w:sz w:val="22"/>
              </w:rPr>
              <w:t>ui/main_window.py</w:t>
            </w:r>
          </w:p>
        </w:tc>
        <w:tc>
          <w:tcPr>
            <w:tcW w:type="dxa" w:w="4252"/>
            <w:tcBorders>
              <w:top w:val="single" w:sz="4" w:color="000000"/>
              <w:left w:val="single" w:sz="4" w:color="000000"/>
              <w:bottom w:val="single" w:sz="4" w:color="000000"/>
              <w:right w:val="single" w:sz="4" w:color="000000"/>
            </w:tcBorders>
          </w:tcPr>
          <w:p>
            <w:pPr>
              <w:ind w:firstLine="0"/>
              <w:jc w:val="center"/>
            </w:pPr>
            <w:r/>
            <w:r>
              <w:rPr>
                <w:sz w:val="22"/>
              </w:rPr>
              <w:t>Главное окно мастера из пяти шагов</w:t>
            </w:r>
          </w:p>
        </w:tc>
        <w:tc>
          <w:tcPr>
            <w:tcW w:type="dxa" w:w="1701"/>
            <w:tcBorders>
              <w:top w:val="single" w:sz="4" w:color="000000"/>
              <w:left w:val="single" w:sz="4" w:color="000000"/>
              <w:bottom w:val="single" w:sz="4" w:color="000000"/>
              <w:right w:val="single" w:sz="4" w:color="000000"/>
            </w:tcBorders>
          </w:tcPr>
          <w:p>
            <w:pPr>
              <w:ind w:firstLine="0"/>
              <w:jc w:val="center"/>
            </w:pPr>
            <w:r/>
            <w:r>
              <w:rPr>
                <w:sz w:val="22"/>
              </w:rPr>
              <w:t>1385</w:t>
            </w:r>
          </w:p>
        </w:tc>
      </w:tr>
      <w:tr>
        <w:tc>
          <w:tcPr>
            <w:tcW w:type="dxa" w:w="3118"/>
            <w:tcBorders>
              <w:top w:val="single" w:sz="4" w:color="000000"/>
              <w:left w:val="single" w:sz="4" w:color="000000"/>
              <w:bottom w:val="single" w:sz="4" w:color="000000"/>
              <w:right w:val="single" w:sz="4" w:color="000000"/>
            </w:tcBorders>
          </w:tcPr>
          <w:p>
            <w:pPr>
              <w:ind w:firstLine="0"/>
              <w:jc w:val="center"/>
            </w:pPr>
            <w:r/>
            <w:r>
              <w:rPr>
                <w:sz w:val="22"/>
              </w:rPr>
              <w:t>ui/dialogs.py</w:t>
            </w:r>
          </w:p>
        </w:tc>
        <w:tc>
          <w:tcPr>
            <w:tcW w:type="dxa" w:w="4252"/>
            <w:tcBorders>
              <w:top w:val="single" w:sz="4" w:color="000000"/>
              <w:left w:val="single" w:sz="4" w:color="000000"/>
              <w:bottom w:val="single" w:sz="4" w:color="000000"/>
              <w:right w:val="single" w:sz="4" w:color="000000"/>
            </w:tcBorders>
          </w:tcPr>
          <w:p>
            <w:pPr>
              <w:ind w:firstLine="0"/>
              <w:jc w:val="center"/>
            </w:pPr>
            <w:r/>
            <w:r>
              <w:rPr>
                <w:sz w:val="22"/>
              </w:rPr>
              <w:t>Диалоги ввода параметров расчёта</w:t>
            </w:r>
          </w:p>
        </w:tc>
        <w:tc>
          <w:tcPr>
            <w:tcW w:type="dxa" w:w="1701"/>
            <w:tcBorders>
              <w:top w:val="single" w:sz="4" w:color="000000"/>
              <w:left w:val="single" w:sz="4" w:color="000000"/>
              <w:bottom w:val="single" w:sz="4" w:color="000000"/>
              <w:right w:val="single" w:sz="4" w:color="000000"/>
            </w:tcBorders>
          </w:tcPr>
          <w:p>
            <w:pPr>
              <w:ind w:firstLine="0"/>
              <w:jc w:val="center"/>
            </w:pPr>
            <w:r/>
            <w:r>
              <w:rPr>
                <w:sz w:val="22"/>
              </w:rPr>
              <w:t>156</w:t>
            </w:r>
          </w:p>
        </w:tc>
      </w:tr>
      <w:tr>
        <w:tc>
          <w:tcPr>
            <w:tcW w:type="dxa" w:w="3118"/>
            <w:tcBorders>
              <w:top w:val="single" w:sz="4" w:color="000000"/>
              <w:left w:val="single" w:sz="4" w:color="000000"/>
              <w:bottom w:val="single" w:sz="4" w:color="000000"/>
              <w:right w:val="single" w:sz="4" w:color="000000"/>
            </w:tcBorders>
          </w:tcPr>
          <w:p>
            <w:pPr>
              <w:ind w:firstLine="0"/>
              <w:jc w:val="center"/>
            </w:pPr>
            <w:r/>
            <w:r>
              <w:rPr>
                <w:sz w:val="22"/>
              </w:rPr>
              <w:t>utils/file_io.py</w:t>
            </w:r>
          </w:p>
        </w:tc>
        <w:tc>
          <w:tcPr>
            <w:tcW w:type="dxa" w:w="4252"/>
            <w:tcBorders>
              <w:top w:val="single" w:sz="4" w:color="000000"/>
              <w:left w:val="single" w:sz="4" w:color="000000"/>
              <w:bottom w:val="single" w:sz="4" w:color="000000"/>
              <w:right w:val="single" w:sz="4" w:color="000000"/>
            </w:tcBorders>
          </w:tcPr>
          <w:p>
            <w:pPr>
              <w:ind w:firstLine="0"/>
              <w:jc w:val="center"/>
            </w:pPr>
            <w:r/>
            <w:r>
              <w:rPr>
                <w:sz w:val="22"/>
              </w:rPr>
              <w:t>Чтение файлов с автоопределением кодировки</w:t>
            </w:r>
          </w:p>
        </w:tc>
        <w:tc>
          <w:tcPr>
            <w:tcW w:type="dxa" w:w="1701"/>
            <w:tcBorders>
              <w:top w:val="single" w:sz="4" w:color="000000"/>
              <w:left w:val="single" w:sz="4" w:color="000000"/>
              <w:bottom w:val="single" w:sz="4" w:color="000000"/>
              <w:right w:val="single" w:sz="4" w:color="000000"/>
            </w:tcBorders>
          </w:tcPr>
          <w:p>
            <w:pPr>
              <w:ind w:firstLine="0"/>
              <w:jc w:val="center"/>
            </w:pPr>
            <w:r/>
            <w:r>
              <w:rPr>
                <w:sz w:val="22"/>
              </w:rPr>
              <w:t>47</w:t>
            </w:r>
          </w:p>
        </w:tc>
      </w:tr>
      <w:tr>
        <w:tc>
          <w:tcPr>
            <w:tcW w:type="dxa" w:w="3118"/>
            <w:tcBorders>
              <w:top w:val="single" w:sz="4" w:color="000000"/>
              <w:left w:val="single" w:sz="4" w:color="000000"/>
              <w:bottom w:val="single" w:sz="4" w:color="000000"/>
              <w:right w:val="single" w:sz="4" w:color="000000"/>
            </w:tcBorders>
          </w:tcPr>
          <w:p>
            <w:pPr>
              <w:ind w:firstLine="0"/>
              <w:jc w:val="center"/>
            </w:pPr>
            <w:r/>
            <w:r>
              <w:rPr>
                <w:sz w:val="22"/>
              </w:rPr>
              <w:t>utils/ltspice_locator.py</w:t>
            </w:r>
          </w:p>
        </w:tc>
        <w:tc>
          <w:tcPr>
            <w:tcW w:type="dxa" w:w="4252"/>
            <w:tcBorders>
              <w:top w:val="single" w:sz="4" w:color="000000"/>
              <w:left w:val="single" w:sz="4" w:color="000000"/>
              <w:bottom w:val="single" w:sz="4" w:color="000000"/>
              <w:right w:val="single" w:sz="4" w:color="000000"/>
            </w:tcBorders>
          </w:tcPr>
          <w:p>
            <w:pPr>
              <w:ind w:firstLine="0"/>
              <w:jc w:val="center"/>
            </w:pPr>
            <w:r/>
            <w:r>
              <w:rPr>
                <w:sz w:val="22"/>
              </w:rPr>
              <w:t>Поиск и запуск LTspice</w:t>
            </w:r>
          </w:p>
        </w:tc>
        <w:tc>
          <w:tcPr>
            <w:tcW w:type="dxa" w:w="1701"/>
            <w:tcBorders>
              <w:top w:val="single" w:sz="4" w:color="000000"/>
              <w:left w:val="single" w:sz="4" w:color="000000"/>
              <w:bottom w:val="single" w:sz="4" w:color="000000"/>
              <w:right w:val="single" w:sz="4" w:color="000000"/>
            </w:tcBorders>
          </w:tcPr>
          <w:p>
            <w:pPr>
              <w:ind w:firstLine="0"/>
              <w:jc w:val="center"/>
            </w:pPr>
            <w:r/>
            <w:r>
              <w:rPr>
                <w:sz w:val="22"/>
              </w:rPr>
              <w:t>212</w:t>
            </w:r>
          </w:p>
        </w:tc>
      </w:tr>
      <w:tr>
        <w:tc>
          <w:tcPr>
            <w:tcW w:type="dxa" w:w="3118"/>
            <w:tcBorders>
              <w:top w:val="single" w:sz="4" w:color="000000"/>
              <w:left w:val="single" w:sz="4" w:color="000000"/>
              <w:bottom w:val="single" w:sz="4" w:color="000000"/>
              <w:right w:val="single" w:sz="4" w:color="000000"/>
            </w:tcBorders>
          </w:tcPr>
          <w:p>
            <w:pPr>
              <w:ind w:firstLine="0"/>
              <w:jc w:val="center"/>
            </w:pPr>
            <w:r/>
            <w:r>
              <w:rPr>
                <w:sz w:val="22"/>
              </w:rPr>
              <w:t>utils/export.py</w:t>
            </w:r>
          </w:p>
        </w:tc>
        <w:tc>
          <w:tcPr>
            <w:tcW w:type="dxa" w:w="4252"/>
            <w:tcBorders>
              <w:top w:val="single" w:sz="4" w:color="000000"/>
              <w:left w:val="single" w:sz="4" w:color="000000"/>
              <w:bottom w:val="single" w:sz="4" w:color="000000"/>
              <w:right w:val="single" w:sz="4" w:color="000000"/>
            </w:tcBorders>
          </w:tcPr>
          <w:p>
            <w:pPr>
              <w:ind w:firstLine="0"/>
              <w:jc w:val="center"/>
            </w:pPr>
            <w:r/>
            <w:r>
              <w:rPr>
                <w:sz w:val="22"/>
              </w:rPr>
              <w:t>Экспорт результатов в CSV и TXT</w:t>
            </w:r>
          </w:p>
        </w:tc>
        <w:tc>
          <w:tcPr>
            <w:tcW w:type="dxa" w:w="1701"/>
            <w:tcBorders>
              <w:top w:val="single" w:sz="4" w:color="000000"/>
              <w:left w:val="single" w:sz="4" w:color="000000"/>
              <w:bottom w:val="single" w:sz="4" w:color="000000"/>
              <w:right w:val="single" w:sz="4" w:color="000000"/>
            </w:tcBorders>
          </w:tcPr>
          <w:p>
            <w:pPr>
              <w:ind w:firstLine="0"/>
              <w:jc w:val="center"/>
            </w:pPr>
            <w:r/>
            <w:r>
              <w:rPr>
                <w:sz w:val="22"/>
              </w:rPr>
              <w:t>328</w:t>
            </w:r>
          </w:p>
        </w:tc>
      </w:tr>
      <w:tr>
        <w:tc>
          <w:tcPr>
            <w:tcW w:type="dxa" w:w="3118"/>
            <w:tcBorders>
              <w:top w:val="single" w:sz="4" w:color="000000"/>
              <w:left w:val="single" w:sz="4" w:color="000000"/>
              <w:bottom w:val="single" w:sz="4" w:color="000000"/>
              <w:right w:val="single" w:sz="4" w:color="000000"/>
            </w:tcBorders>
          </w:tcPr>
          <w:p>
            <w:pPr>
              <w:ind w:firstLine="0"/>
              <w:jc w:val="center"/>
            </w:pPr>
            <w:r/>
            <w:r>
              <w:rPr>
                <w:sz w:val="22"/>
              </w:rPr>
              <w:t>utils/app_paths.py</w:t>
            </w:r>
          </w:p>
        </w:tc>
        <w:tc>
          <w:tcPr>
            <w:tcW w:type="dxa" w:w="4252"/>
            <w:tcBorders>
              <w:top w:val="single" w:sz="4" w:color="000000"/>
              <w:left w:val="single" w:sz="4" w:color="000000"/>
              <w:bottom w:val="single" w:sz="4" w:color="000000"/>
              <w:right w:val="single" w:sz="4" w:color="000000"/>
            </w:tcBorders>
          </w:tcPr>
          <w:p>
            <w:pPr>
              <w:ind w:firstLine="0"/>
              <w:jc w:val="center"/>
            </w:pPr>
            <w:r/>
            <w:r>
              <w:rPr>
                <w:sz w:val="22"/>
              </w:rPr>
              <w:t>Управление путями для PyInstaller-сборки</w:t>
            </w:r>
          </w:p>
        </w:tc>
        <w:tc>
          <w:tcPr>
            <w:tcW w:type="dxa" w:w="1701"/>
            <w:tcBorders>
              <w:top w:val="single" w:sz="4" w:color="000000"/>
              <w:left w:val="single" w:sz="4" w:color="000000"/>
              <w:bottom w:val="single" w:sz="4" w:color="000000"/>
              <w:right w:val="single" w:sz="4" w:color="000000"/>
            </w:tcBorders>
          </w:tcPr>
          <w:p>
            <w:pPr>
              <w:ind w:firstLine="0"/>
              <w:jc w:val="center"/>
            </w:pPr>
            <w:r/>
            <w:r>
              <w:rPr>
                <w:sz w:val="22"/>
              </w:rPr>
              <w:t>39</w:t>
            </w:r>
          </w:p>
        </w:tc>
      </w:tr>
      <w:tr>
        <w:tc>
          <w:tcPr>
            <w:tcW w:type="dxa" w:w="3118"/>
            <w:tcBorders>
              <w:top w:val="single" w:sz="4" w:color="000000"/>
              <w:left w:val="single" w:sz="4" w:color="000000"/>
              <w:bottom w:val="single" w:sz="4" w:color="000000"/>
              <w:right w:val="single" w:sz="4" w:color="000000"/>
            </w:tcBorders>
          </w:tcPr>
          <w:p>
            <w:pPr>
              <w:ind w:firstLine="0"/>
              <w:jc w:val="center"/>
            </w:pPr>
            <w:r/>
            <w:r>
              <w:rPr>
                <w:sz w:val="22"/>
              </w:rPr>
              <w:t>scripts/ltspice_runner.py</w:t>
            </w:r>
          </w:p>
        </w:tc>
        <w:tc>
          <w:tcPr>
            <w:tcW w:type="dxa" w:w="4252"/>
            <w:tcBorders>
              <w:top w:val="single" w:sz="4" w:color="000000"/>
              <w:left w:val="single" w:sz="4" w:color="000000"/>
              <w:bottom w:val="single" w:sz="4" w:color="000000"/>
              <w:right w:val="single" w:sz="4" w:color="000000"/>
            </w:tcBorders>
          </w:tcPr>
          <w:p>
            <w:pPr>
              <w:ind w:firstLine="0"/>
              <w:jc w:val="center"/>
            </w:pPr>
            <w:r/>
            <w:r>
              <w:rPr>
                <w:sz w:val="22"/>
              </w:rPr>
              <w:t>Автономный пакетный сценарий</w:t>
            </w:r>
          </w:p>
        </w:tc>
        <w:tc>
          <w:tcPr>
            <w:tcW w:type="dxa" w:w="1701"/>
            <w:tcBorders>
              <w:top w:val="single" w:sz="4" w:color="000000"/>
              <w:left w:val="single" w:sz="4" w:color="000000"/>
              <w:bottom w:val="single" w:sz="4" w:color="000000"/>
              <w:right w:val="single" w:sz="4" w:color="000000"/>
            </w:tcBorders>
          </w:tcPr>
          <w:p>
            <w:pPr>
              <w:ind w:firstLine="0"/>
              <w:jc w:val="center"/>
            </w:pPr>
            <w:r/>
            <w:r>
              <w:rPr>
                <w:sz w:val="22"/>
              </w:rPr>
              <w:t>431</w:t>
            </w:r>
          </w:p>
        </w:tc>
      </w:tr>
      <w:tr>
        <w:tc>
          <w:tcPr>
            <w:tcW w:type="dxa" w:w="3118"/>
            <w:tcBorders>
              <w:top w:val="single" w:sz="4" w:color="000000"/>
              <w:left w:val="single" w:sz="4" w:color="000000"/>
              <w:bottom w:val="single" w:sz="4" w:color="000000"/>
              <w:right w:val="single" w:sz="4" w:color="000000"/>
            </w:tcBorders>
          </w:tcPr>
          <w:p>
            <w:pPr>
              <w:ind w:firstLine="0"/>
              <w:jc w:val="center"/>
            </w:pPr>
            <w:r/>
            <w:r>
              <w:rPr>
                <w:sz w:val="22"/>
              </w:rPr>
              <w:t>Итого</w:t>
            </w:r>
          </w:p>
        </w:tc>
        <w:tc>
          <w:tcPr>
            <w:tcW w:type="dxa" w:w="4252"/>
            <w:tcBorders>
              <w:top w:val="single" w:sz="4" w:color="000000"/>
              <w:left w:val="single" w:sz="4" w:color="000000"/>
              <w:bottom w:val="single" w:sz="4" w:color="000000"/>
              <w:right w:val="single" w:sz="4" w:color="000000"/>
            </w:tcBorders>
          </w:tcPr>
          <w:p>
            <w:pPr>
              <w:ind w:firstLine="0"/>
              <w:jc w:val="center"/>
            </w:pPr>
            <w:r/>
            <w:r>
              <w:rPr>
                <w:sz w:val="22"/>
              </w:rPr>
              <w:t>Суммарный объём кодовой базы</w:t>
            </w:r>
          </w:p>
        </w:tc>
        <w:tc>
          <w:tcPr>
            <w:tcW w:type="dxa" w:w="1701"/>
            <w:tcBorders>
              <w:top w:val="single" w:sz="4" w:color="000000"/>
              <w:left w:val="single" w:sz="4" w:color="000000"/>
              <w:bottom w:val="single" w:sz="4" w:color="000000"/>
              <w:right w:val="single" w:sz="4" w:color="000000"/>
            </w:tcBorders>
          </w:tcPr>
          <w:p>
            <w:pPr>
              <w:ind w:firstLine="0"/>
              <w:jc w:val="center"/>
            </w:pPr>
            <w:r/>
            <w:r>
              <w:rPr>
                <w:sz w:val="22"/>
              </w:rPr>
              <w:t>4365</w:t>
            </w:r>
          </w:p>
        </w:tc>
      </w:tr>
    </w:tbl>
    <w:p>
      <w:pPr>
        <w:spacing w:after="120"/>
      </w:pPr>
    </w:p>
    <w:p>
      <w:r>
        <w:rPr>
          <w:b w:val="0"/>
          <w:i w:val="0"/>
        </w:rPr>
        <w:t>Внешние зависимости проекта ограничены двумя библиотеками: PyQt6 версии 6.5.0 или новее – для графического интерфейса и NumPy версии 1.24.0 или новее – для численных вычислений. Стандартная библиотека Python обеспечивает все остальные функции (работу с файловой системой, регулярные выражения, JSON-конфигурацию, запуск внешних процессов, потоки исполнения).</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