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A353F1">
      <w:pPr>
        <w:ind w:firstLine="0"/>
        <w:jc w:val="center"/>
        <w:rPr>
          <w:rFonts w:eastAsia="Times New Roman" w:cs="Times New Roman"/>
          <w:szCs w:val="20"/>
        </w:rPr>
      </w:pPr>
      <w:r w:rsidRPr="00F6703D"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999164580"/>
        <w:docPartObj>
          <w:docPartGallery w:val="Table of Contents"/>
          <w:docPartUnique/>
        </w:docPartObj>
      </w:sdtPr>
      <w:sdtEndPr/>
      <w:sdtContent>
        <w:p w:rsidR="009E6D71" w:rsidRDefault="009E6D71">
          <w:pPr>
            <w:pStyle w:val="af9"/>
          </w:pPr>
          <w:r>
            <w:t>Оглавление</w:t>
          </w:r>
        </w:p>
        <w:p w:rsidR="009E6D71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15858" w:history="1">
            <w:r w:rsidRPr="00DB53C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59" w:history="1">
            <w:r w:rsidR="009E6D71" w:rsidRPr="00DB53CE">
              <w:rPr>
                <w:rStyle w:val="a5"/>
                <w:rFonts w:cs="Times New Roman"/>
                <w:noProof/>
              </w:rPr>
              <w:t>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_Toc515515859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0" w:history="1"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_Toc515515860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1" w:history="1">
            <w:r w:rsidR="009E6D71" w:rsidRPr="00DB53CE">
              <w:rPr>
                <w:rStyle w:val="a5"/>
                <w:rFonts w:cs="Times New Roman"/>
                <w:noProof/>
              </w:rPr>
              <w:t>1.2.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_Toc515515861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2" w:history="1">
            <w:r w:rsidR="009E6D71" w:rsidRPr="00DB53CE">
              <w:rPr>
                <w:rStyle w:val="a5"/>
                <w:rFonts w:cs="Times New Roman"/>
                <w:noProof/>
              </w:rPr>
              <w:t>2.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_Toc515515862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7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3" w:history="1">
            <w:r w:rsidR="009E6D71" w:rsidRPr="00DB53CE">
              <w:rPr>
                <w:rStyle w:val="a5"/>
                <w:rFonts w:cs="Times New Roman"/>
                <w:noProof/>
              </w:rPr>
              <w:t>2.1.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_Toc515515863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7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79089F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4" w:history="1"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_Toc515515864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10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r>
            <w:rPr>
              <w:b/>
              <w:bCs/>
            </w:rPr>
            <w:fldChar w:fldCharType="end"/>
          </w:r>
        </w:p>
      </w:sdtContent>
    </w:sdt>
    <w:p w:rsidR="00284D76" w:rsidRDefault="00284D76"/>
    <w:p w:rsidR="002B4044" w:rsidRDefault="002B4044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9E6D71" w:rsidRDefault="009E6D71" w:rsidP="009E6D71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0" w:name="_Toc515316433"/>
      <w:bookmarkStart w:id="1" w:name="_Toc515515858"/>
      <w:bookmarkStart w:id="2" w:name="_Toc465616438"/>
      <w:bookmarkStart w:id="3" w:name="_Toc465616754"/>
      <w:bookmarkStart w:id="4" w:name="_Toc465726269"/>
      <w:bookmarkStart w:id="5" w:name="_Toc465726376"/>
      <w:bookmarkStart w:id="6" w:name="_Toc465726448"/>
      <w:bookmarkStart w:id="7" w:name="_Toc500923017"/>
      <w:r w:rsidRPr="00A84F59">
        <w:lastRenderedPageBreak/>
        <w:t>Введение</w:t>
      </w:r>
      <w:bookmarkEnd w:id="0"/>
      <w:bookmarkEnd w:id="1"/>
      <w:r w:rsidRPr="0044462F">
        <w:rPr>
          <w:spacing w:val="2"/>
        </w:rPr>
        <w:t xml:space="preserve"> </w:t>
      </w: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исследование распределения статистики критерия однородности: Андерсона-Дарлинга на данных ограниченной точности;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распределения статистики критерия с предельной функцией распределения;</w:t>
      </w:r>
    </w:p>
    <w:bookmarkEnd w:id="2"/>
    <w:bookmarkEnd w:id="3"/>
    <w:bookmarkEnd w:id="4"/>
    <w:bookmarkEnd w:id="5"/>
    <w:bookmarkEnd w:id="6"/>
    <w:bookmarkEnd w:id="7"/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</w:pPr>
    </w:p>
    <w:p w:rsidR="009E6D71" w:rsidRPr="00BC3BC1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 w:line="259" w:lineRule="auto"/>
        <w:rPr>
          <w:rFonts w:cs="Times New Roman"/>
          <w:color w:val="000000" w:themeColor="text1"/>
        </w:rPr>
      </w:pPr>
      <w:bookmarkStart w:id="8" w:name="_Toc515316434"/>
      <w:bookmarkStart w:id="9" w:name="_Toc515515707"/>
      <w:bookmarkStart w:id="10" w:name="_Toc515515859"/>
      <w:r w:rsidRPr="00BC3BC1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8"/>
      <w:bookmarkEnd w:id="9"/>
      <w:bookmarkEnd w:id="10"/>
    </w:p>
    <w:p w:rsidR="009E6D71" w:rsidRPr="00BC3BC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eastAsiaTheme="minorHAnsi" w:cs="Times New Roman"/>
          <w:color w:val="auto"/>
          <w:spacing w:val="2"/>
          <w:szCs w:val="28"/>
        </w:rPr>
      </w:pPr>
      <w:bookmarkStart w:id="11" w:name="_Toc515316435"/>
      <w:bookmarkStart w:id="12" w:name="_Toc515515708"/>
      <w:bookmarkStart w:id="13" w:name="_Toc515515860"/>
      <w:r w:rsidRPr="00BC3BC1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1"/>
      <w:bookmarkEnd w:id="12"/>
      <w:bookmarkEnd w:id="13"/>
    </w:p>
    <w:p w:rsidR="009E6D71" w:rsidRPr="0001195C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9E6D71" w:rsidRPr="00D2493B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размером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353357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353358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9E6D71" w:rsidRPr="00D2493B" w:rsidRDefault="00182D05" w:rsidP="009E6D71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182D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353359" r:id="rId13"/>
        </w:object>
      </w:r>
      <w:r w:rsidR="009E6D71" w:rsidRPr="00D2493B">
        <w:rPr>
          <w:rFonts w:cs="Times New Roman"/>
          <w:spacing w:val="2"/>
          <w:sz w:val="28"/>
          <w:szCs w:val="28"/>
        </w:rPr>
        <w:t xml:space="preserve"> и </w:t>
      </w:r>
      <w:r w:rsidRPr="00182D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353360" r:id="rId15"/>
        </w:object>
      </w:r>
      <w:r w:rsidR="009E6D71" w:rsidRPr="00D2493B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353361" r:id="rId17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353362" r:id="rId19"/>
        </w:object>
      </w:r>
      <w:r w:rsidRPr="00D2493B">
        <w:rPr>
          <w:rFonts w:cs="Times New Roman"/>
          <w:spacing w:val="2"/>
          <w:sz w:val="28"/>
          <w:szCs w:val="28"/>
        </w:rPr>
        <w:t xml:space="preserve">: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353363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353364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9E6D7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4" w:name="_Toc515316438"/>
      <w:bookmarkStart w:id="15" w:name="_Toc515515709"/>
      <w:bookmarkStart w:id="16" w:name="_Toc515515861"/>
      <w:r w:rsidRPr="009E6D71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4"/>
      <w:bookmarkEnd w:id="15"/>
      <w:bookmarkEnd w:id="16"/>
    </w:p>
    <w:p w:rsidR="009E6D71" w:rsidRPr="00481B4A" w:rsidRDefault="009E6D71" w:rsidP="009E6D71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9E6D71" w:rsidRPr="00481B4A" w:rsidRDefault="00182D05" w:rsidP="009E6D71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182D05">
        <w:rPr>
          <w:rFonts w:eastAsiaTheme="minorHAnsi"/>
          <w:spacing w:val="2"/>
          <w:position w:val="-30"/>
          <w:szCs w:val="28"/>
        </w:rPr>
        <w:object w:dxaOrig="4320" w:dyaOrig="720">
          <v:shape id="_x0000_i1033" type="#_x0000_t75" style="width:3in;height:36pt" o:ole="">
            <v:imagedata r:id="rId24" o:title=""/>
          </v:shape>
          <o:OLEObject Type="Embed" ProgID="Equation.DSMT4" ShapeID="_x0000_i1033" DrawAspect="Content" ObjectID="_1589353365" r:id="rId25"/>
        </w:object>
      </w:r>
      <w:r w:rsidR="009E6D71" w:rsidRPr="00481B4A">
        <w:rPr>
          <w:rFonts w:eastAsiaTheme="minorHAnsi"/>
          <w:spacing w:val="2"/>
          <w:szCs w:val="28"/>
        </w:rPr>
        <w:t>.</w:t>
      </w:r>
    </w:p>
    <w:p w:rsidR="009E6D71" w:rsidRDefault="009E6D71" w:rsidP="009E6D71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9E6D71" w:rsidRPr="00481B4A" w:rsidTr="00517065">
        <w:tc>
          <w:tcPr>
            <w:tcW w:w="8188" w:type="dxa"/>
            <w:vAlign w:val="center"/>
          </w:tcPr>
          <w:p w:rsidR="009E6D71" w:rsidRPr="00481B4A" w:rsidRDefault="00182D05" w:rsidP="00182D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182D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34" type="#_x0000_t75" style="width:156.75pt;height:38.25pt" o:ole="">
                  <v:imagedata r:id="rId26" o:title=""/>
                </v:shape>
                <o:OLEObject Type="Embed" ProgID="Equation.DSMT4" ShapeID="_x0000_i1034" DrawAspect="Content" ObjectID="_1589353366" r:id="rId27"/>
              </w:object>
            </w:r>
            <w:r w:rsidR="009E6D71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9E6D71" w:rsidRPr="00481B4A" w:rsidRDefault="009E6D71" w:rsidP="0051706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9E6D71" w:rsidRPr="00481B4A" w:rsidRDefault="009E6D71" w:rsidP="009E6D71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182D05" w:rsidRPr="00182D05">
        <w:rPr>
          <w:rFonts w:eastAsiaTheme="minorHAnsi"/>
          <w:spacing w:val="2"/>
          <w:position w:val="-12"/>
          <w:szCs w:val="28"/>
        </w:rPr>
        <w:object w:dxaOrig="340" w:dyaOrig="360">
          <v:shape id="_x0000_i1035" type="#_x0000_t75" style="width:17.25pt;height:18pt" o:ole="">
            <v:imagedata r:id="rId28" o:title=""/>
          </v:shape>
          <o:OLEObject Type="Embed" ProgID="Equation.DSMT4" ShapeID="_x0000_i1035" DrawAspect="Content" ObjectID="_1589353367" r:id="rId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9E6D71" w:rsidRPr="00481B4A" w:rsidRDefault="009E6D71" w:rsidP="009E6D71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</w:t>
      </w:r>
      <w:r w:rsidRPr="00481B4A">
        <w:rPr>
          <w:rFonts w:cs="Times New Roman"/>
          <w:spacing w:val="2"/>
          <w:sz w:val="28"/>
          <w:szCs w:val="28"/>
        </w:rPr>
        <w:lastRenderedPageBreak/>
        <w:t xml:space="preserve">проверяемой гипотезы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6" type="#_x0000_t75" style="width:17.25pt;height:18pt" o:ole="">
            <v:imagedata r:id="rId30" o:title=""/>
          </v:shape>
          <o:OLEObject Type="Embed" ProgID="Equation.DSMT4" ShapeID="_x0000_i1036" DrawAspect="Content" ObjectID="_1589353368" r:id="rId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7" type="#_x0000_t75" style="width:27.75pt;height:15.75pt" o:ole="">
            <v:imagedata r:id="rId32" o:title=""/>
          </v:shape>
          <o:OLEObject Type="Embed" ProgID="Equation.DSMT4" ShapeID="_x0000_i1037" DrawAspect="Content" ObjectID="_1589353369" r:id="rId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8" type="#_x0000_t75" style="width:27.75pt;height:15.75pt" o:ole="">
            <v:imagedata r:id="rId34" o:title=""/>
          </v:shape>
          <o:OLEObject Type="Embed" ProgID="Equation.DSMT4" ShapeID="_x0000_i1038" DrawAspect="Content" ObjectID="_1589353370" r:id="rId35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9E6D71" w:rsidRPr="00481B4A" w:rsidRDefault="00182D05" w:rsidP="009E6D71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182D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39" type="#_x0000_t75" style="width:297.75pt;height:38.25pt" o:ole="">
            <v:imagedata r:id="rId36" o:title=""/>
          </v:shape>
          <o:OLEObject Type="Embed" ProgID="Equation.DSMT4" ShapeID="_x0000_i1039" DrawAspect="Content" ObjectID="_1589353371" r:id="rId37"/>
        </w:object>
      </w:r>
    </w:p>
    <w:p w:rsidR="009E6D71" w:rsidRDefault="00182D05" w:rsidP="009E6D71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182D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40" type="#_x0000_t75" style="width:177.75pt;height:38.25pt" o:ole="">
            <v:imagedata r:id="rId38" o:title=""/>
          </v:shape>
          <o:OLEObject Type="Embed" ProgID="Equation.DSMT4" ShapeID="_x0000_i1040" DrawAspect="Content" ObjectID="_1589353372" r:id="rId39"/>
        </w:object>
      </w:r>
      <w:r w:rsidR="009E6D71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284D76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7" w:name="_Toc515316440"/>
      <w:bookmarkStart w:id="18" w:name="_Toc515515710"/>
      <w:bookmarkStart w:id="19" w:name="_Toc515515862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17"/>
      <w:bookmarkEnd w:id="18"/>
      <w:bookmarkEnd w:id="19"/>
    </w:p>
    <w:p w:rsidR="009E6D71" w:rsidRPr="00284D76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0" w:name="_Toc515316441"/>
      <w:bookmarkStart w:id="21" w:name="_Toc515515711"/>
      <w:bookmarkStart w:id="22" w:name="_Toc515515863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0"/>
      <w:bookmarkEnd w:id="21"/>
      <w:bookmarkEnd w:id="22"/>
    </w:p>
    <w:p w:rsidR="00F7477D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</w:t>
      </w:r>
      <w:r w:rsidR="00F07E89" w:rsidRPr="00F07E89">
        <w:rPr>
          <w:rFonts w:cs="Times New Roman"/>
          <w:sz w:val="28"/>
          <w:szCs w:val="28"/>
        </w:rPr>
        <w:t>2.1-2.5</w:t>
      </w:r>
      <w:r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 xml:space="preserve">количество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182D05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82D05">
        <w:rPr>
          <w:b/>
          <w:color w:val="000000" w:themeColor="text1"/>
          <w:position w:val="-10"/>
          <w:lang w:val="en-US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589353373" r:id="rId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475A7B" w:rsidRPr="002272F3" w:rsidRDefault="00F7477D" w:rsidP="00475A7B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182D05" w:rsidP="00475A7B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182D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42" type="#_x0000_t75" style="width:156pt;height:38.25pt" o:ole="">
            <v:imagedata r:id="rId42" o:title=""/>
          </v:shape>
          <o:OLEObject Type="Embed" ProgID="Equation.DSMT4" ShapeID="_x0000_i1042" DrawAspect="Content" ObjectID="_1589353374" r:id="rId43"/>
        </w:object>
      </w:r>
    </w:p>
    <w:p w:rsidR="00475A7B" w:rsidRPr="002272F3" w:rsidRDefault="00475A7B" w:rsidP="00475A7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43" type="#_x0000_t75" style="width:32.25pt;height:18pt" o:ole="">
            <v:imagedata r:id="rId44" o:title=""/>
          </v:shape>
          <o:OLEObject Type="Embed" ProgID="Equation.DSMT4" ShapeID="_x0000_i1043" DrawAspect="Content" ObjectID="_1589353375" r:id="rId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44" type="#_x0000_t75" style="width:29.25pt;height:18pt" o:ole="">
            <v:imagedata r:id="rId46" o:title=""/>
          </v:shape>
          <o:OLEObject Type="Embed" ProgID="Equation.DSMT4" ShapeID="_x0000_i1044" DrawAspect="Content" ObjectID="_1589353376" r:id="rId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F7477D" w:rsidRDefault="009E6D71" w:rsidP="00F7477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275A6" w:rsidRDefault="005275A6" w:rsidP="009E6D71">
      <w:pPr>
        <w:ind w:firstLine="0"/>
        <w:rPr>
          <w:b/>
        </w:rPr>
      </w:pPr>
    </w:p>
    <w:p w:rsidR="009E6D71" w:rsidRPr="00FA3026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2.1</w:t>
      </w:r>
      <w:r w:rsidRPr="00DC3598">
        <w:rPr>
          <w:rFonts w:cs="Times New Roman"/>
        </w:rPr>
        <w:t xml:space="preserve"> – </w:t>
      </w:r>
      <w:r w:rsidR="00FA3026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FA3026">
        <w:rPr>
          <w:rFonts w:cs="Times New Roman"/>
          <w:lang w:val="en-US"/>
        </w:rPr>
        <w:t>n</w:t>
      </w:r>
      <w:r w:rsidR="00FA3026" w:rsidRPr="00FA3026">
        <w:rPr>
          <w:rFonts w:cs="Times New Roman"/>
        </w:rPr>
        <w:t>=</w:t>
      </w:r>
      <w:r w:rsidR="00FA3026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45" type="#_x0000_t75" style="width:60.75pt;height:18pt" o:ole="">
            <v:imagedata r:id="rId48" o:title=""/>
          </v:shape>
          <o:OLEObject Type="Embed" ProgID="Equation.DSMT4" ShapeID="_x0000_i1045" DrawAspect="Content" ObjectID="_1589353377" r:id="rId49"/>
        </w:object>
      </w:r>
      <w:r w:rsidR="00FA3026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46" type="#_x0000_t75" style="width:12pt;height:12.75pt" o:ole="">
                  <v:imagedata r:id="rId50" o:title=""/>
                </v:shape>
                <o:OLEObject Type="Embed" ProgID="Equation.DSMT4" ShapeID="_x0000_i1046" DrawAspect="Content" ObjectID="_1589353378" r:id="rId51"/>
              </w:object>
            </w:r>
          </w:p>
        </w:tc>
        <w:tc>
          <w:tcPr>
            <w:tcW w:w="3191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B94222" w:rsidRDefault="00B94222" w:rsidP="00B9435D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9E6D71" w:rsidRDefault="00475A7B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9E6D71" w:rsidRDefault="00475A7B" w:rsidP="00D363DA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2.2, 2.3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2.2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182D05" w:rsidRPr="00182D05">
        <w:rPr>
          <w:rFonts w:cs="Times New Roman"/>
          <w:position w:val="-6"/>
        </w:rPr>
        <w:object w:dxaOrig="620" w:dyaOrig="240">
          <v:shape id="_x0000_i1047" type="#_x0000_t75" style="width:30.75pt;height:12pt" o:ole="">
            <v:imagedata r:id="rId52" o:title=""/>
          </v:shape>
          <o:OLEObject Type="Embed" ProgID="Equation.DSMT4" ShapeID="_x0000_i1047" DrawAspect="Content" ObjectID="_1589353379" r:id="rId53"/>
        </w:objec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48" type="#_x0000_t75" style="width:60.75pt;height:18pt" o:ole="">
            <v:imagedata r:id="rId54" o:title=""/>
          </v:shape>
          <o:OLEObject Type="Embed" ProgID="Equation.DSMT4" ShapeID="_x0000_i1048" DrawAspect="Content" ObjectID="_1589353380" r:id="rId55"/>
        </w:object>
      </w:r>
      <w:r w:rsidR="00B9435D">
        <w:rPr>
          <w:rFonts w:cs="Times New Roman"/>
        </w:rPr>
        <w:t xml:space="preserve">, </w:t>
      </w:r>
      <w:r w:rsidR="00E17125">
        <w:rPr>
          <w:rFonts w:cs="Times New Roman"/>
        </w:rPr>
        <w:t>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49" type="#_x0000_t75" style="width:12pt;height:12.75pt" o:ole="">
                  <v:imagedata r:id="rId56" o:title=""/>
                </v:shape>
                <o:OLEObject Type="Embed" ProgID="Equation.DSMT4" ShapeID="_x0000_i1049" DrawAspect="Content" ObjectID="_1589353381" r:id="rId57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71.0</w:t>
            </w:r>
          </w:p>
        </w:tc>
      </w:tr>
    </w:tbl>
    <w:p w:rsidR="009E6D71" w:rsidRDefault="009E6D71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2.3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182D05" w:rsidRPr="00182D05">
        <w:rPr>
          <w:rFonts w:cs="Times New Roman"/>
          <w:position w:val="-6"/>
        </w:rPr>
        <w:object w:dxaOrig="620" w:dyaOrig="240">
          <v:shape id="_x0000_i1050" type="#_x0000_t75" style="width:30.75pt;height:12pt" o:ole="">
            <v:imagedata r:id="rId58" o:title=""/>
          </v:shape>
          <o:OLEObject Type="Embed" ProgID="Equation.DSMT4" ShapeID="_x0000_i1050" DrawAspect="Content" ObjectID="_1589353382" r:id="rId59"/>
        </w:objec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51" type="#_x0000_t75" style="width:60.75pt;height:18pt" o:ole="">
            <v:imagedata r:id="rId60" o:title=""/>
          </v:shape>
          <o:OLEObject Type="Embed" ProgID="Equation.DSMT4" ShapeID="_x0000_i1051" DrawAspect="Content" ObjectID="_1589353383" r:id="rId61"/>
        </w:object>
      </w:r>
      <w:r w:rsidR="00B9435D">
        <w:rPr>
          <w:rFonts w:cs="Times New Roman"/>
        </w:rPr>
        <w:t xml:space="preserve">, </w:t>
      </w:r>
      <w:r w:rsidR="00E17125">
        <w:rPr>
          <w:rFonts w:cs="Times New Roman"/>
        </w:rPr>
        <w:t>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2" type="#_x0000_t75" style="width:12pt;height:12.75pt" o:ole="">
                  <v:imagedata r:id="rId62" o:title=""/>
                </v:shape>
                <o:OLEObject Type="Embed" ProgID="Equation.DSMT4" ShapeID="_x0000_i1052" DrawAspect="Content" ObjectID="_1589353384" r:id="rId63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9E6D71">
      <w:pPr>
        <w:rPr>
          <w:rFonts w:cs="Times New Roman"/>
          <w:color w:val="000000" w:themeColor="text1"/>
          <w:sz w:val="22"/>
          <w:szCs w:val="22"/>
        </w:rPr>
      </w:pPr>
    </w:p>
    <w:p w:rsidR="00EF5543" w:rsidRDefault="00E17125" w:rsidP="00B9435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таблицам 2.2 и 2.3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одинаковые. </w:t>
      </w:r>
    </w:p>
    <w:p w:rsidR="00B9435D" w:rsidRDefault="00E17125" w:rsidP="00D363DA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 большими на данных ограниченной точности.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2.4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1 знака, </w:t>
      </w:r>
      <w:r w:rsidR="00B9435D">
        <w:rPr>
          <w:rFonts w:cs="Times New Roman"/>
          <w:lang w:val="en-US"/>
        </w:rPr>
        <w:t>n</w:t>
      </w:r>
      <w:r w:rsidR="00B9435D" w:rsidRPr="00FA3026">
        <w:rPr>
          <w:rFonts w:cs="Times New Roman"/>
        </w:rPr>
        <w:t>=</w:t>
      </w:r>
      <w:r w:rsidR="00B9435D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359" w:dyaOrig="360">
          <v:shape id="_x0000_i1053" type="#_x0000_t75" style="width:68.25pt;height:18pt" o:ole="">
            <v:imagedata r:id="rId64" o:title=""/>
          </v:shape>
          <o:OLEObject Type="Embed" ProgID="Equation.DSMT4" ShapeID="_x0000_i1053" DrawAspect="Content" ObjectID="_1589353385" r:id="rId65"/>
        </w:object>
      </w:r>
      <w:r w:rsidR="00B9435D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4" type="#_x0000_t75" style="width:12pt;height:12.75pt" o:ole="">
                  <v:imagedata r:id="rId66" o:title=""/>
                </v:shape>
                <o:OLEObject Type="Embed" ProgID="Equation.DSMT4" ShapeID="_x0000_i1054" DrawAspect="Content" ObjectID="_1589353386" r:id="rId67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9E6D71" w:rsidRPr="00C4521A" w:rsidRDefault="009E6D71" w:rsidP="00D363DA">
      <w:pPr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2.5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целых, </w:t>
      </w:r>
      <w:r w:rsidR="00B9435D">
        <w:rPr>
          <w:rFonts w:cs="Times New Roman"/>
          <w:lang w:val="en-US"/>
        </w:rPr>
        <w:t>n</w:t>
      </w:r>
      <w:r w:rsidR="00B9435D" w:rsidRPr="00FA3026">
        <w:rPr>
          <w:rFonts w:cs="Times New Roman"/>
        </w:rPr>
        <w:t>=</w:t>
      </w:r>
      <w:r w:rsidR="00B9435D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380" w:dyaOrig="360">
          <v:shape id="_x0000_i1055" type="#_x0000_t75" style="width:69pt;height:18pt" o:ole="">
            <v:imagedata r:id="rId68" o:title=""/>
          </v:shape>
          <o:OLEObject Type="Embed" ProgID="Equation.DSMT4" ShapeID="_x0000_i1055" DrawAspect="Content" ObjectID="_1589353387" r:id="rId69"/>
        </w:object>
      </w:r>
      <w:r w:rsidR="00B9435D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6" type="#_x0000_t75" style="width:12pt;height:12.75pt" o:ole="">
                  <v:imagedata r:id="rId70" o:title=""/>
                </v:shape>
                <o:OLEObject Type="Embed" ProgID="Equation.DSMT4" ShapeID="_x0000_i1056" DrawAspect="Content" ObjectID="_1589353388" r:id="rId71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Pr="00D363DA" w:rsidRDefault="00D363DA" w:rsidP="009E6D71">
      <w:pPr>
        <w:pStyle w:val="a"/>
        <w:numPr>
          <w:ilvl w:val="0"/>
          <w:numId w:val="0"/>
        </w:numPr>
        <w:ind w:firstLine="284"/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9E6D71" w:rsidRPr="00481B4A" w:rsidRDefault="009E6D71" w:rsidP="009E6D71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23" w:name="_Toc515316447"/>
      <w:bookmarkStart w:id="24" w:name="_Toc515515712"/>
      <w:bookmarkStart w:id="25" w:name="_Toc515515864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23"/>
      <w:bookmarkEnd w:id="24"/>
      <w:bookmarkEnd w:id="25"/>
    </w:p>
    <w:p w:rsidR="009E6D71" w:rsidRPr="0042619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26" w:name="Scholz"/>
      <w:bookmarkStart w:id="27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26"/>
      <w:r w:rsidRPr="00077656">
        <w:rPr>
          <w:sz w:val="28"/>
          <w:szCs w:val="28"/>
          <w:lang w:val="en-US"/>
        </w:rPr>
        <w:t>.</w:t>
      </w:r>
      <w:bookmarkEnd w:id="27"/>
    </w:p>
    <w:p w:rsidR="009E6D71" w:rsidRPr="00CF179A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28" w:name="Лемешко_Лемешко_5"/>
      <w:bookmarkStart w:id="29" w:name="_Ref267915674"/>
      <w:r w:rsidRPr="00CF179A">
        <w:rPr>
          <w:spacing w:val="2"/>
          <w:sz w:val="28"/>
          <w:szCs w:val="28"/>
        </w:rPr>
        <w:t xml:space="preserve">Лемешко Б. Ю. О сходимости распределений статистик и </w:t>
      </w:r>
      <w:bookmarkStart w:id="30" w:name="_GoBack"/>
      <w:bookmarkEnd w:id="30"/>
      <w:r w:rsidRPr="00CF179A">
        <w:rPr>
          <w:spacing w:val="2"/>
          <w:sz w:val="28"/>
          <w:szCs w:val="28"/>
        </w:rPr>
        <w:t>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28"/>
      <w:r w:rsidRPr="00CF179A">
        <w:rPr>
          <w:spacing w:val="2"/>
          <w:sz w:val="28"/>
          <w:szCs w:val="28"/>
        </w:rPr>
        <w:t>.</w:t>
      </w:r>
      <w:bookmarkEnd w:id="29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31" w:name="Lemeshko_Lemeshko_5"/>
      <w:bookmarkStart w:id="32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</w:t>
      </w:r>
      <w:r w:rsidRPr="00077656">
        <w:rPr>
          <w:sz w:val="28"/>
          <w:szCs w:val="28"/>
          <w:lang w:val="en-US"/>
        </w:rPr>
        <w:lastRenderedPageBreak/>
        <w:t>Lemeshko, S. B. Lemeshko // Measurement Techniques – 2005. – Vol. 48, № 12. – P. 1159–1166</w:t>
      </w:r>
      <w:bookmarkEnd w:id="31"/>
      <w:r w:rsidRPr="00077656">
        <w:rPr>
          <w:sz w:val="28"/>
          <w:szCs w:val="28"/>
          <w:lang w:val="en-US"/>
        </w:rPr>
        <w:t>.</w:t>
      </w:r>
      <w:bookmarkEnd w:id="3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33" w:name="Lemeshko_Lemeshko_V_N"/>
      <w:bookmarkStart w:id="34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33"/>
      <w:r w:rsidRPr="00593149">
        <w:rPr>
          <w:spacing w:val="2"/>
          <w:sz w:val="28"/>
          <w:szCs w:val="28"/>
          <w:lang w:val="en-US"/>
        </w:rPr>
        <w:t>.</w:t>
      </w:r>
      <w:bookmarkEnd w:id="34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5" w:name="Большев"/>
      <w:bookmarkStart w:id="36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35"/>
      <w:r w:rsidRPr="00AD0982">
        <w:rPr>
          <w:spacing w:val="2"/>
          <w:sz w:val="28"/>
          <w:szCs w:val="28"/>
        </w:rPr>
        <w:t>.</w:t>
      </w:r>
      <w:bookmarkEnd w:id="36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7" w:name="Lehmann_1"/>
      <w:bookmarkStart w:id="38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37"/>
      <w:r w:rsidRPr="001007F0">
        <w:rPr>
          <w:spacing w:val="2"/>
          <w:sz w:val="28"/>
          <w:szCs w:val="28"/>
        </w:rPr>
        <w:t>.</w:t>
      </w:r>
      <w:bookmarkEnd w:id="38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9" w:name="Newman"/>
      <w:bookmarkStart w:id="40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39"/>
      <w:r w:rsidRPr="001007F0">
        <w:rPr>
          <w:spacing w:val="2"/>
          <w:sz w:val="28"/>
          <w:szCs w:val="28"/>
        </w:rPr>
        <w:t>.</w:t>
      </w:r>
      <w:bookmarkEnd w:id="40"/>
    </w:p>
    <w:p w:rsidR="009E6D71" w:rsidRPr="00481B4A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1" w:name="Rosenblatt_1"/>
      <w:bookmarkStart w:id="42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41"/>
      <w:r w:rsidRPr="00481B4A">
        <w:rPr>
          <w:spacing w:val="2"/>
          <w:sz w:val="28"/>
          <w:szCs w:val="28"/>
        </w:rPr>
        <w:t>.</w:t>
      </w:r>
      <w:bookmarkEnd w:id="4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3" w:name="Pettitt1976"/>
      <w:bookmarkStart w:id="44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43"/>
      <w:r w:rsidRPr="00481B4A">
        <w:rPr>
          <w:spacing w:val="2"/>
          <w:sz w:val="28"/>
          <w:szCs w:val="28"/>
        </w:rPr>
        <w:t>.</w:t>
      </w:r>
      <w:bookmarkEnd w:id="44"/>
    </w:p>
    <w:p w:rsidR="009E6D71" w:rsidRPr="00C25EA5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2B4044">
      <w:pPr>
        <w:rPr>
          <w:lang w:eastAsia="en-US"/>
        </w:rPr>
      </w:pPr>
    </w:p>
    <w:sectPr w:rsidR="009E6D71" w:rsidSect="0040447C">
      <w:footerReference w:type="default" r:id="rId7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9F" w:rsidRDefault="0079089F" w:rsidP="000D2338">
      <w:r>
        <w:separator/>
      </w:r>
    </w:p>
  </w:endnote>
  <w:endnote w:type="continuationSeparator" w:id="0">
    <w:p w:rsidR="0079089F" w:rsidRDefault="0079089F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A7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9F" w:rsidRDefault="0079089F" w:rsidP="000D2338">
      <w:r>
        <w:separator/>
      </w:r>
    </w:p>
  </w:footnote>
  <w:footnote w:type="continuationSeparator" w:id="0">
    <w:p w:rsidR="0079089F" w:rsidRDefault="0079089F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089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5A70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1DF17775-7A97-4534-82C2-299BFE3B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1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53</cp:revision>
  <cp:lastPrinted>2017-12-13T03:05:00Z</cp:lastPrinted>
  <dcterms:created xsi:type="dcterms:W3CDTF">2017-05-26T07:52:00Z</dcterms:created>
  <dcterms:modified xsi:type="dcterms:W3CDTF">2018-06-01T03:15:00Z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