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A09E" w14:textId="15A47EE0" w:rsidR="00535497" w:rsidRDefault="00000000" w:rsidP="00F72004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智能体设计方案</w:t>
      </w:r>
    </w:p>
    <w:p w14:paraId="385AC73A" w14:textId="77777777" w:rsidR="00535497" w:rsidRDefault="00000000">
      <w:pPr>
        <w:spacing w:before="120" w:after="120" w:line="324" w:lineRule="auto"/>
        <w:jc w:val="both"/>
        <w:rPr>
          <w:rFonts w:hint="eastAsia"/>
        </w:rPr>
      </w:pPr>
      <w:r>
        <w:rPr>
          <w:rFonts w:ascii="Arial" w:hAnsi="Arial" w:eastAsia="Arial"/>
          <w:b/>
          <w:sz w:val="22"/>
        </w:rPr>
        <w:t>参赛队伍</w:t>
      </w:r>
      <w:r>
        <w:rPr>
          <w:rFonts w:ascii="Arial" w:hAnsi="Arial" w:eastAsia="Arial"/>
          <w:b w:val="0"/>
          <w:sz w:val="22"/>
        </w:rPr>
        <w:t>：X-M</w:t>
      </w:r>
    </w:p>
    <w:p w14:paraId="0D99CB20" w14:textId="1CD1171B" w:rsidR="00535497" w:rsidRDefault="00000000">
      <w:pPr>
        <w:spacing w:before="120" w:after="120" w:line="324" w:lineRule="auto"/>
        <w:jc w:val="both"/>
        <w:rPr>
          <w:rFonts w:hint="eastAsia"/>
        </w:rPr>
      </w:pPr>
      <w:r>
        <w:rPr>
          <w:rFonts w:ascii="Arial" w:hAnsi="Arial" w:eastAsia="Arial"/>
          <w:b/>
          <w:sz w:val="22"/>
        </w:rPr>
        <w:t>作品名称</w:t>
      </w:r>
      <w:r>
        <w:rPr>
          <w:rFonts w:ascii="Arial" w:hAnsi="Arial" w:eastAsia="Arial"/>
          <w:b w:val="0"/>
          <w:sz w:val="22"/>
        </w:rPr>
        <w:t>：水域智巡——基于YOLO与Qwen的水域综合异常识别智能体</w:t>
      </w:r>
    </w:p>
    <w:p w14:paraId="5CEA3387" w14:textId="77777777" w:rsidR="00F72004" w:rsidRDefault="00000000" w:rsidP="00F72004">
      <w:pPr>
        <w:spacing w:before="120" w:after="120" w:line="324" w:lineRule="auto"/>
        <w:jc w:val="both"/>
        <w:rPr>
          <w:rFonts w:hint="eastAsia"/>
        </w:rPr>
      </w:pPr>
      <w:r>
        <w:rPr>
          <w:rFonts w:ascii="Arial" w:hAnsi="Arial" w:eastAsia="Arial"/>
          <w:b/>
          <w:sz w:val="22"/>
        </w:rPr>
        <w:t>完成日期</w:t>
      </w:r>
      <w:r>
        <w:rPr>
          <w:rFonts w:ascii="Arial" w:hAnsi="Arial" w:eastAsia="Arial"/>
          <w:b w:val="0"/>
          <w:sz w:val="22"/>
        </w:rPr>
        <w:t>：2026-08-21</w:t>
      </w:r>
    </w:p>
    <w:p>
      <w:pPr>
        <w:keepNext/>
        <w:spacing w:before="320" w:after="160" w:line="288" w:lineRule="auto"/>
      </w:pPr>
      <w:r>
        <w:rPr>
          <w:rFonts w:ascii="Arial" w:hAnsi="Arial" w:eastAsia="Arial"/>
          <w:b/>
          <w:sz w:val="32"/>
        </w:rPr>
        <w:t>一、需求与痛点分析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1.1 业务背景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河湖、水库、岸线和近岸水域的日常巡查会产生大量图片。传统流程往往由业务人员收集图片，再交给熟悉算法环境的技术人员启动模型、整理结果并编写说明。模型即使具备识别能力，普通巡查人员仍需要理解命令行、权重文件和结果格式，形成“算法可用但业务难用”的最后一公里问题。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本作品面向水域治理线索初筛，把图像分类模型封装为智能体可调用的视觉工具。用户只需上传图片并用自然语言提问，智能体即可完成输入校验、视觉识别、风险复核判断、自然语言解释和脱敏审计。系统服务的是辅助研判，不替代现场核查、执法认定或专业人员最终决策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1.2 核心痛点</w:t>
      </w:r>
    </w:p>
    <w:p>
      <w:pPr>
        <w:spacing w:before="40" w:after="80" w:line="300" w:lineRule="auto"/>
        <w:ind w:left="180"/>
      </w:pPr>
      <w:r>
        <w:rPr>
          <w:rFonts w:ascii="Arial" w:hAnsi="Arial" w:eastAsia="Arial"/>
          <w:b/>
          <w:sz w:val="21"/>
        </w:rPr>
        <w:t>操作门槛高：</w:t>
      </w:r>
      <w:r>
        <w:rPr>
          <w:rFonts w:ascii="Arial" w:hAnsi="Arial" w:eastAsia="Arial"/>
          <w:b w:val="0"/>
          <w:sz w:val="21"/>
        </w:rPr>
        <w:t>传统模型需要专业人员配置环境、选择权重并执行推理命令。</w:t>
      </w:r>
    </w:p>
    <w:p>
      <w:pPr>
        <w:spacing w:before="40" w:after="80" w:line="300" w:lineRule="auto"/>
        <w:ind w:left="180"/>
      </w:pPr>
      <w:r>
        <w:rPr>
          <w:rFonts w:ascii="Arial" w:hAnsi="Arial" w:eastAsia="Arial"/>
          <w:b/>
          <w:sz w:val="21"/>
        </w:rPr>
        <w:t>结果难解释：</w:t>
      </w:r>
      <w:r>
        <w:rPr>
          <w:rFonts w:ascii="Arial" w:hAnsi="Arial" w:eastAsia="Arial"/>
          <w:b w:val="0"/>
          <w:sz w:val="21"/>
        </w:rPr>
        <w:t>裸模型通常只返回类别和概率，业务人员还需要理解风险和下一步动作。</w:t>
      </w:r>
    </w:p>
    <w:p>
      <w:pPr>
        <w:spacing w:before="40" w:after="80" w:line="300" w:lineRule="auto"/>
        <w:ind w:left="180"/>
      </w:pPr>
      <w:r>
        <w:rPr>
          <w:rFonts w:ascii="Arial" w:hAnsi="Arial" w:eastAsia="Arial"/>
          <w:b/>
          <w:sz w:val="21"/>
        </w:rPr>
        <w:t>长尾风险高：</w:t>
      </w:r>
      <w:r>
        <w:rPr>
          <w:rFonts w:ascii="Arial" w:hAnsi="Arial" w:eastAsia="Arial"/>
          <w:b w:val="0"/>
          <w:sz w:val="21"/>
        </w:rPr>
        <w:t>官方 1,144 张训练图片中“有漂浮物”占 1,026 张，而“乱建”和“正常”仅 4 张、7 张，单看 Accuracy 会掩盖少样本类别风险。</w:t>
      </w:r>
    </w:p>
    <w:p>
      <w:pPr>
        <w:spacing w:before="40" w:after="80" w:line="300" w:lineRule="auto"/>
        <w:ind w:left="180"/>
      </w:pPr>
      <w:r>
        <w:rPr>
          <w:rFonts w:ascii="Arial" w:hAnsi="Arial" w:eastAsia="Arial"/>
          <w:b/>
          <w:sz w:val="21"/>
        </w:rPr>
        <w:t>服务不稳定：</w:t>
      </w:r>
      <w:r>
        <w:rPr>
          <w:rFonts w:ascii="Arial" w:hAnsi="Arial" w:eastAsia="Arial"/>
          <w:b w:val="0"/>
          <w:sz w:val="21"/>
        </w:rPr>
        <w:t>远程大模型可能超时或短暂不可用，不能因此丢失本地视觉识别结果。</w:t>
      </w:r>
    </w:p>
    <w:p>
      <w:pPr>
        <w:spacing w:before="40" w:after="80" w:line="300" w:lineRule="auto"/>
        <w:ind w:left="180"/>
      </w:pPr>
      <w:r>
        <w:rPr>
          <w:rFonts w:ascii="Arial" w:hAnsi="Arial" w:eastAsia="Arial"/>
          <w:b/>
          <w:sz w:val="21"/>
        </w:rPr>
        <w:t>证据链不足：</w:t>
      </w:r>
      <w:r>
        <w:rPr>
          <w:rFonts w:ascii="Arial" w:hAnsi="Arial" w:eastAsia="Arial"/>
          <w:b w:val="0"/>
          <w:sz w:val="21"/>
        </w:rPr>
        <w:t>如果不记录模型版本、工具步骤和耗时，难以复核某次结论的来源。</w:t>
      </w:r>
    </w:p>
    <w:p>
      <w:pPr>
        <w:spacing w:before="40" w:after="80" w:line="300" w:lineRule="auto"/>
        <w:ind w:left="180"/>
      </w:pPr>
      <w:r>
        <w:rPr>
          <w:rFonts w:ascii="Arial" w:hAnsi="Arial" w:eastAsia="Arial"/>
          <w:b/>
          <w:sz w:val="21"/>
        </w:rPr>
        <w:t>交付易泄密：</w:t>
      </w:r>
      <w:r>
        <w:rPr>
          <w:rFonts w:ascii="Arial" w:hAnsi="Arial" w:eastAsia="Arial"/>
          <w:b w:val="0"/>
          <w:sz w:val="21"/>
        </w:rPr>
        <w:t>原始资料、测试图片、API Key、日志和训练缓存若被整目录压缩，可能造成合规风险。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1.3 目标与范围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首版覆盖两条共享模型、不同交互方式的业务链：一是面向普通用户的受控多工具智能体；二是面向初赛打榜的确定性批量图片分类与官方格式 JSON 生成。交互端支持图片异常识别、巡查报告、结果可靠性说明和无图片的类别知识咨询；识别类别严格限定为乱采、乱建、乱堆、乱占、有漂浮物和正常。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官方只提供整图单标签，没有边界框或分割标注，因此当前视觉能力是 YOLO 图像分类（YOLO-CLS），不宣称输出异常位置、数量、面积或严重度。视频、监控流、多源遥感、相似案例检索和主动学习属于可沿工具接口扩展的后续能力，不阻塞首版交付。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1.4 验收目标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有效图片应在一次交互内得到六类之一、置信度、Top-3、复核提示、任务计划、工具轨迹和依据说明；无效文件应在模型调用前被拒绝。Qwen 故障时保留视觉结果并明确显示确定性回退。批量链应生成与官方 `train.json` 同 Schema 的结果，并在归档前通过结构、敏感文件和 JSON 校验。</w:t>
      </w:r>
    </w:p>
    <w:p>
      <w:pPr>
        <w:keepNext/>
        <w:pageBreakBefore/>
        <w:spacing w:before="320" w:after="160" w:line="288" w:lineRule="auto"/>
      </w:pPr>
      <w:r>
        <w:rPr>
          <w:rFonts w:ascii="Arial" w:hAnsi="Arial" w:eastAsia="Arial"/>
          <w:b/>
          <w:sz w:val="32"/>
        </w:rPr>
        <w:t>二、智能体总体架构设计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2.1 设计原则</w:t>
      </w:r>
    </w:p>
    <w:p>
      <w:pPr>
        <w:spacing w:before="40" w:after="80" w:line="300" w:lineRule="auto"/>
        <w:ind w:left="180"/>
      </w:pPr>
      <w:r>
        <w:rPr>
          <w:rFonts w:ascii="Arial" w:hAnsi="Arial" w:eastAsia="Arial"/>
          <w:b/>
          <w:sz w:val="21"/>
        </w:rPr>
        <w:t>决策可控：</w:t>
      </w:r>
      <w:r>
        <w:rPr>
          <w:rFonts w:ascii="Arial" w:hAnsi="Arial" w:eastAsia="Arial"/>
          <w:b w:val="0"/>
          <w:sz w:val="21"/>
        </w:rPr>
        <w:t>YOLO 是分类结论的唯一来源；Qwen 只能提出通过Schema校验的任务计划并基于证据生成报告，不改写标签。</w:t>
      </w:r>
    </w:p>
    <w:p>
      <w:pPr>
        <w:spacing w:before="40" w:after="80" w:line="300" w:lineRule="auto"/>
        <w:ind w:left="180"/>
      </w:pPr>
      <w:r>
        <w:rPr>
          <w:rFonts w:ascii="Arial" w:hAnsi="Arial" w:eastAsia="Arial"/>
          <w:b/>
          <w:sz w:val="21"/>
        </w:rPr>
        <w:t>两链同源：</w:t>
      </w:r>
      <w:r>
        <w:rPr>
          <w:rFonts w:ascii="Arial" w:hAnsi="Arial" w:eastAsia="Arial"/>
          <w:b w:val="0"/>
          <w:sz w:val="21"/>
        </w:rPr>
        <w:t>单图智能体和批量提交共用四折分类器、类别枚举与结果 Schema。</w:t>
      </w:r>
    </w:p>
    <w:p>
      <w:pPr>
        <w:spacing w:before="40" w:after="80" w:line="300" w:lineRule="auto"/>
        <w:ind w:left="180"/>
      </w:pPr>
      <w:r>
        <w:rPr>
          <w:rFonts w:ascii="Arial" w:hAnsi="Arial" w:eastAsia="Arial"/>
          <w:b/>
          <w:sz w:val="21"/>
        </w:rPr>
        <w:t>故障隔离：</w:t>
      </w:r>
      <w:r>
        <w:rPr>
          <w:rFonts w:ascii="Arial" w:hAnsi="Arial" w:eastAsia="Arial"/>
          <w:b w:val="0"/>
          <w:sz w:val="21"/>
        </w:rPr>
        <w:t>视觉、本地复核策略、Qwen 解释和审计分别记录状态，局部故障不吞掉核心结果。</w:t>
      </w:r>
    </w:p>
    <w:p>
      <w:pPr>
        <w:spacing w:before="40" w:after="80" w:line="300" w:lineRule="auto"/>
        <w:ind w:left="180"/>
      </w:pPr>
      <w:r>
        <w:rPr>
          <w:rFonts w:ascii="Arial" w:hAnsi="Arial" w:eastAsia="Arial"/>
          <w:b/>
          <w:sz w:val="21"/>
        </w:rPr>
        <w:t>最小暴露：</w:t>
      </w:r>
      <w:r>
        <w:rPr>
          <w:rFonts w:ascii="Arial" w:hAnsi="Arial" w:eastAsia="Arial"/>
          <w:b w:val="0"/>
          <w:sz w:val="21"/>
        </w:rPr>
        <w:t>图片只在请求期间处理；审计不保存原图、路径、问题正文或密钥。</w:t>
      </w:r>
    </w:p>
    <w:p>
      <w:pPr>
        <w:spacing w:before="40" w:after="80" w:line="300" w:lineRule="auto"/>
        <w:ind w:left="180"/>
      </w:pPr>
      <w:r>
        <w:rPr>
          <w:rFonts w:ascii="Arial" w:hAnsi="Arial" w:eastAsia="Arial"/>
          <w:b/>
          <w:sz w:val="21"/>
        </w:rPr>
        <w:t>可替换：</w:t>
      </w:r>
      <w:r>
        <w:rPr>
          <w:rFonts w:ascii="Arial" w:hAnsi="Arial" w:eastAsia="Arial"/>
          <w:b w:val="0"/>
          <w:sz w:val="21"/>
        </w:rPr>
        <w:t>视觉分类器和 Qwen Provider 通过稳定接口解耦，适配决赛国产平台时不重写业务协议。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2.2 总体架构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交互链路为：用户任务与可选图片 → Gradio/FastAPI → 输入安全校验 → Qwen3.6-27B 结构化任务计划（失败时确定性回退）→ `WaterAnalysisAgent`本地白名单执行器 → 四折 YOLO-CLS视觉工具、类别知识工具、复核策略工具 → Qwen报告生成或本地回退 → 脱敏 SQLite审计 → 结构化回答。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批量链路为：参赛者显式指定图片目录 → 四折 YOLO-CLS 概率平均 → 官方六类标签映射 → `result.json`与概率审计 → Schema 校验 → 白名单交付构建器。批量链不调用大模型，避免生成随机性和远程服务状态影响打榜结果。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2.3 智能体执行流程</w:t>
      </w:r>
    </w:p>
    <w:p>
      <w:pPr>
        <w:spacing w:before="40" w:after="80" w:line="300" w:lineRule="auto"/>
        <w:ind w:left="240"/>
      </w:pPr>
      <w:r>
        <w:rPr>
          <w:rFonts w:ascii="Arial" w:hAnsi="Arial" w:eastAsia="Arial"/>
          <w:b w:val="0"/>
          <w:sz w:val="21"/>
        </w:rPr>
        <w:t>接收用户任务与可选图片；有图片时检查扩展名、文件大小、像素数和实际可解码性。</w:t>
      </w:r>
    </w:p>
    <w:p>
      <w:pPr>
        <w:spacing w:before="40" w:after="80" w:line="300" w:lineRule="auto"/>
        <w:ind w:left="240"/>
      </w:pPr>
      <w:r>
        <w:rPr>
          <w:rFonts w:ascii="Arial" w:hAnsi="Arial" w:eastAsia="Arial"/>
          <w:b w:val="0"/>
          <w:sz w:val="21"/>
        </w:rPr>
        <w:t>Qwen将任务转换为受控JSON计划，例如“识别→类别知识→巡查报告”；本地Pydantic契约只接受白名单意图和工具序列。Qwen不可用或输出非法时使用确定性计划。</w:t>
      </w:r>
    </w:p>
    <w:p>
      <w:pPr>
        <w:spacing w:before="40" w:after="80" w:line="300" w:lineRule="auto"/>
        <w:ind w:left="240"/>
      </w:pPr>
      <w:r>
        <w:rPr>
          <w:rFonts w:ascii="Arial" w:hAnsi="Arial" w:eastAsia="Arial"/>
          <w:b w:val="0"/>
          <w:sz w:val="21"/>
        </w:rPr>
        <w:t>`WaterAnalysisAgent`本地执行器按计划调用工具。涉及图片时，YOLO分类工具返回六类概率、Top-1、Top-3、模型版本和模型耗时；无图片的类别咨询只调用知识工具。</w:t>
      </w:r>
    </w:p>
    <w:p>
      <w:pPr>
        <w:spacing w:before="40" w:after="80" w:line="300" w:lineRule="auto"/>
        <w:ind w:left="240"/>
      </w:pPr>
      <w:r>
        <w:rPr>
          <w:rFonts w:ascii="Arial" w:hAnsi="Arial" w:eastAsia="Arial"/>
          <w:b w:val="0"/>
          <w:sz w:val="21"/>
        </w:rPr>
        <w:t>根据置信度阈值和类别级OOF证据计算复核策略；当前“乱建”和“正常”强制复核。</w:t>
      </w:r>
    </w:p>
    <w:p>
      <w:pPr>
        <w:spacing w:before="40" w:after="80" w:line="300" w:lineRule="auto"/>
        <w:ind w:left="240"/>
      </w:pPr>
      <w:r>
        <w:rPr>
          <w:rFonts w:ascii="Arial" w:hAnsi="Arial" w:eastAsia="Arial"/>
          <w:b w:val="0"/>
          <w:sz w:val="21"/>
        </w:rPr>
        <w:t>Qwen仅依据不可变的视觉结果、类别知识和复核依据生成简洁分析或巡查报告；不得改写标签、伪造目标框或断言违法事实。关闭thinking以减少空响应和长延迟。</w:t>
      </w:r>
    </w:p>
    <w:p>
      <w:pPr>
        <w:spacing w:before="40" w:after="80" w:line="300" w:lineRule="auto"/>
        <w:ind w:left="240"/>
      </w:pPr>
      <w:r>
        <w:rPr>
          <w:rFonts w:ascii="Arial" w:hAnsi="Arial" w:eastAsia="Arial"/>
          <w:b w:val="0"/>
          <w:sz w:val="21"/>
        </w:rPr>
        <w:t>页面展示任务类型、计划来源、执行步骤、工具状态、分类事实、知识依据和最终回答；若Qwen异常，明确展示确定性回退，视觉结论不丢失。</w:t>
      </w:r>
    </w:p>
    <w:p>
      <w:pPr>
        <w:spacing w:before="40" w:after="80" w:line="300" w:lineRule="auto"/>
        <w:ind w:left="240"/>
      </w:pPr>
      <w:r>
        <w:rPr>
          <w:rFonts w:ascii="Arial" w:hAnsi="Arial" w:eastAsia="Arial"/>
          <w:b w:val="0"/>
          <w:sz w:val="21"/>
        </w:rPr>
        <w:t>只把请求ID、时间、结构化结论、复核原因、模型版本、耗时和工具状态写入SQLite。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2.4 技术栈</w:t>
      </w:r>
    </w:p>
    <w:tbl>
      <w:tblPr>
        <w:tblW w:type="dxa" w:w="8180"/>
        <w:tblLayout w:type="fixed"/>
        <w:tblLook w:firstColumn="1" w:firstRow="1" w:lastColumn="0" w:lastRow="0" w:noHBand="0" w:noVBand="1" w:val="04A0"/>
        <w:tblBorders>
          <w:top w:val="single" w:sz="4" w:space="0" w:color="B7C9D3"/>
          <w:left w:val="single" w:sz="4" w:space="0" w:color="B7C9D3"/>
          <w:bottom w:val="single" w:sz="4" w:space="0" w:color="B7C9D3"/>
          <w:right w:val="single" w:sz="4" w:space="0" w:color="B7C9D3"/>
          <w:insideH w:val="single" w:sz="4" w:space="0" w:color="B7C9D3"/>
          <w:insideV w:val="single" w:sz="4" w:space="0" w:color="B7C9D3"/>
        </w:tblBorders>
        <w:tblInd w:w="100" w:type="dxa"/>
      </w:tblPr>
      <w:tblGrid>
        <w:gridCol w:w="2290"/>
        <w:gridCol w:w="2290"/>
        <w:gridCol w:w="3600"/>
      </w:tblGrid>
      <w:tr>
        <w:trPr>
          <w:tblHeader w:val="true"/>
        </w:trP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0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层次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0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技术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0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/>
                <w:sz w:val="19"/>
              </w:rPr>
              <w:t>选型理由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视觉模型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Ultralytics YOLO26n-CLS 四折集成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与整图六分类标签匹配，小模型适配 8GB 显存，支持统一图片推理接口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智能体编排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自研 `WaterAnalysisAgent`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工具调用顺序可复现、可审计，不依赖未验证的原生 Function Calling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国产大模型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赛事 Qwen3.6-27B OpenAI 兼容接口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满足国产开源大模型要求，用于问题理解和结果解释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服务与界面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FastAPI + Gradio Blocks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快速形成可调用 API 和可演示的人机交互界面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配置与校验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Pydantic Settings / Schema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类型安全、环境变量注入、结果协议和上传边界可自动验证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审计与交付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SQLite + Python CLI + tar.gz 白名单构建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轻量可追溯，提交结构确定且可阻断密钥、缓存和原始数据误打包</w:t>
            </w:r>
          </w:p>
        </w:tc>
      </w:tr>
    </w:tbl>
    <w:p>
      <w:pPr>
        <w:spacing w:after="40"/>
      </w:pP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2.5 接口与数据协议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`POST /api/v1/classify`返回视觉标签、置信度、Top-K、复核信息、模型版本和视觉耗时；`POST /api/v1/analyze`在此基础上增加任务计划、自然语言回答、类别知识和完整工具轨迹；`POST /api/v1/consult`支持无图片类别咨询；`GET /api/v1/guidance/{label}`返回受审核类别知识；`GET /health`报告视觉、Qwen、计划器、知识库和审计状态。批量结果每条记录只包含 `filename`、`width`、`height`和`label`，与官方样例保持一致。</w:t>
      </w:r>
    </w:p>
    <w:p>
      <w:pPr>
        <w:keepNext/>
        <w:pageBreakBefore/>
        <w:spacing w:before="320" w:after="160" w:line="288" w:lineRule="auto"/>
      </w:pPr>
      <w:r>
        <w:rPr>
          <w:rFonts w:ascii="Arial" w:hAnsi="Arial" w:eastAsia="Arial"/>
          <w:b/>
          <w:sz w:val="32"/>
        </w:rPr>
        <w:t>三、核心模块详细设计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3.1 数据审计与分组四折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训练准备首先只读核对 `train.json`和图片，统计标签、宽高、重复与近重复组。衍生折使用独立副本适配 Ultralytics 分类目录，禁止硬链接回原训练图片。近重复图片整体分配到同一折，减少相似画面跨训练/验证造成的泄漏。四折 OOF 要求 1,144 个样本唯一覆盖、无重复、每个样本只使用未见过它的折模型预测。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3.2 四折 YOLO-CLS 视觉工具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单折公平对照固定预训练权重、fold、随机种子、图像尺寸、batch 和 epoch，只改变类别损失。类别加权策略在 15 epoch 对照中略优于标准损失，因此四折采用 power=0.5、cap=8 的加权损失。上线推理对四个模型的六类概率做等权平均，再选择 Top-1；温度缩放因 ECE 和 Brier 变差而保持 T=1.0。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模型适配器统一提供 `classify(image)`接口，交互链和批量链均复用同一标签顺序和概率聚合逻辑。模型版本由四个训练运行目录和权重名组成，进入响应与审计记录。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3.3 复核策略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基础策略在最高置信度低于 0.65 时提示人工复核。仅靠置信度会忽略验证证据：当前“正常”只有 7 张且 OOF Recall 为 0，“乱建”只有 4 张且 Recall 为 50%，因此这两类无论置信度高低均强制复核。该策略只影响交互提示，不改变赛事批量标签，保证人机安全和打榜确定性同时成立。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3.4 Qwen计划与报告工具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Provider按官方案例使用OpenAI兼容`/v1`协议与`qwen3.6-27b`模型。计划Prompt要求只输出四类意图和严格对应的工具序列JSON；本地校验器拒绝非法JSON、未知工具、错误顺序和不符合图片前置条件的计划。报告Prompt要求忠实解释不可变的结构化标签、置信度、类别知识和复核原因，不把大模型当视觉判别器。请求限制问题长度、输出token、超时和有限重试，默认关闭thinking。异常统一脱敏，不在错误信息或日志中暴露密钥、Authorization头或服务响应正文。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赛事提供的 Qwen3-VL-Embedding-8B 和 Qwen3-VL-Reranker-8B 可在后续用于合规案例库的图文检索与重排；首版未把它们置于核心链路，避免在缺少案例库和时间有限时引入不可验证复杂度。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3.5 API、界面与输入安全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FastAPI负责健康检查、直接分类、Agent分析和类别咨询；Gradio提供图片上传或无图片咨询、任务描述、分析按钮、回答、分类/置信度、复核原因、Top-3、任务计划、类别知识与工具轨迹。上传同时检查扩展名和真实解码，限制20MB、4,000万像素，临时文件在成功与异常分支均清理。服务面向低并发辅助分析，不在首版宣称生产级高吞吐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3.6 脱敏审计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SQLite只保存 request_id、created_at、label、confidence、requires_review、review_reason、model_version、total_latency_ms和trace_json。数据库不设置 prompt、question、answer、image、path、API Key或Authorization字段。审计目录不可写时服务安全降级，核心识别不被可选存储阻断。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3.7 批量提交与白名单交付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批量 CLI 只有在参赛者显式填写输入目录时才读取图片，拒绝覆盖已有结果，生成 `result.json`与概率审计文件。提交校验器检查顶层数组、字段类型、六类枚举和文件名重复。交付构建器要求显式 `--confirm-real-result`，只复制列明的源码、配置、文档、测试、脚本和四折权重；归档前验证 `code/`、`design/`、`result/result.json`，不包含训练/测试图片、密钥、`.env`、缓存和内部日志。</w:t>
      </w:r>
    </w:p>
    <w:p>
      <w:pPr>
        <w:keepNext/>
        <w:pageBreakBefore/>
        <w:spacing w:before="320" w:after="160" w:line="288" w:lineRule="auto"/>
      </w:pPr>
      <w:r>
        <w:rPr>
          <w:rFonts w:ascii="Arial" w:hAnsi="Arial" w:eastAsia="Arial"/>
          <w:b/>
          <w:sz w:val="32"/>
        </w:rPr>
        <w:t>四、创新点设计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4.1 从“模型能力”到“业务可用能力”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作品的创新不在于让大模型猜图片，而是把已验证的视觉算法变为可由自然语言触发的受控工具。普通用户不需要理解权重、GPU和推理命令，同时保留模型决策的确定性和证据链。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4.2 Qwen计划与本地白名单执行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作品不依赖未验证的远程Function Calling。Qwen先提出受约束的JSON任务计划，本地执行器再决定是否调用YOLO识别、类别知识、复核策略和报告工具。用户能够看到“任务理解—执行步骤—工具状态—证据—结论”的外显过程；该过程不是模型隐式思维，也不允许大模型调用任意文件、Shell或网络工具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4.3 智能体链与打榜链同源解耦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交互链利用 Qwen 提升可理解性，批量链绕过大模型保证稳定；两者共享视觉模型、Schema和标签映射，既体现行业智能体价值，又避免为展示单独维护一套与打榜不一致的模型。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4.4 类别验证风险驱动的人机协同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系统不是机械使用单一置信度阈值，而是把 OOF 样本量和逐类 Recall 转化为运行时复核策略。尤其对“正常”和“乱建”主动暴露证据不足，减少大模型把统计上不可靠的判断包装成确定结论。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4.5 可观测的故障降级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每一步工具均记录 success、fallback 或 disabled。Qwen 服务故障不会覆盖或吞掉 YOLO 结论，审计故障也不会阻断核心识别。演示时可以明确证明系统不是依赖一次理想远程调用的静态样例。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4.6 安全交付即代码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最终归档不采用人工排除，而采用白名单复制、Schema验证、敏感文件名扫描、文件哈希清单和真实结果显式确认。把容易遗漏的参赛合规要求固化为可重复执行的构建流程。</w:t>
      </w:r>
    </w:p>
    <w:p>
      <w:pPr>
        <w:keepNext/>
        <w:pageBreakBefore/>
        <w:spacing w:before="320" w:after="160" w:line="288" w:lineRule="auto"/>
      </w:pPr>
      <w:r>
        <w:rPr>
          <w:rFonts w:ascii="Arial" w:hAnsi="Arial" w:eastAsia="Arial"/>
          <w:b/>
          <w:sz w:val="32"/>
        </w:rPr>
        <w:t>五、效果评估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5.1 模型评估结果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四折分组 OOF 完整覆盖官方 1,144 张训练图片。以下指标来自训练集交叉验证，不是初赛测试集或榜单成绩。</w:t>
      </w:r>
    </w:p>
    <w:tbl>
      <w:tblPr>
        <w:tblW w:type="dxa" w:w="8180"/>
        <w:tblLayout w:type="fixed"/>
        <w:tblLook w:firstColumn="1" w:firstRow="1" w:lastColumn="0" w:lastRow="0" w:noHBand="0" w:noVBand="1" w:val="04A0"/>
        <w:tblBorders>
          <w:top w:val="single" w:sz="4" w:space="0" w:color="B7C9D3"/>
          <w:left w:val="single" w:sz="4" w:space="0" w:color="B7C9D3"/>
          <w:bottom w:val="single" w:sz="4" w:space="0" w:color="B7C9D3"/>
          <w:right w:val="single" w:sz="4" w:space="0" w:color="B7C9D3"/>
          <w:insideH w:val="single" w:sz="4" w:space="0" w:color="B7C9D3"/>
          <w:insideV w:val="single" w:sz="4" w:space="0" w:color="B7C9D3"/>
        </w:tblBorders>
        <w:tblInd w:w="100" w:type="dxa"/>
      </w:tblPr>
      <w:tblGrid>
        <w:gridCol w:w="2290"/>
        <w:gridCol w:w="2290"/>
        <w:gridCol w:w="3600"/>
      </w:tblGrid>
      <w:tr>
        <w:trPr>
          <w:tblHeader w:val="true"/>
        </w:trP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0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指标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0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结果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0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/>
                <w:sz w:val="19"/>
              </w:rPr>
              <w:t>解释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Accuracy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97.73%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受多数类影响明显，仅作整体参考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Balanced Accuracy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71.11%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六类 Recall 等权平均，更能反映长尾能力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Macro-F1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73.43%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六类 F1 等权平均，是内部选型核心指标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Top-2 Accuracy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98.95%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可用于人工复核界面展示候选类别</w:t>
            </w:r>
          </w:p>
        </w:tc>
      </w:tr>
    </w:tbl>
    <w:p>
      <w:pPr>
        <w:spacing w:after="40"/>
      </w:pPr>
    </w:p>
    <w:tbl>
      <w:tblPr>
        <w:tblW w:type="dxa" w:w="8180"/>
        <w:tblLayout w:type="fixed"/>
        <w:tblLook w:firstColumn="1" w:firstRow="1" w:lastColumn="0" w:lastRow="0" w:noHBand="0" w:noVBand="1" w:val="04A0"/>
        <w:tblBorders>
          <w:top w:val="single" w:sz="4" w:space="0" w:color="B7C9D3"/>
          <w:left w:val="single" w:sz="4" w:space="0" w:color="B7C9D3"/>
          <w:bottom w:val="single" w:sz="4" w:space="0" w:color="B7C9D3"/>
          <w:right w:val="single" w:sz="4" w:space="0" w:color="B7C9D3"/>
          <w:insideH w:val="single" w:sz="4" w:space="0" w:color="B7C9D3"/>
          <w:insideV w:val="single" w:sz="4" w:space="0" w:color="B7C9D3"/>
        </w:tblBorders>
        <w:tblInd w:w="100" w:type="dxa"/>
      </w:tblPr>
      <w:tblGrid>
        <w:gridCol w:w="2290"/>
        <w:gridCol w:w="2290"/>
        <w:gridCol w:w="3600"/>
      </w:tblGrid>
      <w:tr>
        <w:trPr>
          <w:tblHeader w:val="true"/>
        </w:trP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0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类别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0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正确数/真实数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0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/>
                <w:sz w:val="19"/>
              </w:rPr>
              <w:t>Recall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乱采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24/24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100%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乱建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2/4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50%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乱堆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19/23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82.61%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乱占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57/60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95%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有漂浮物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1016/1026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99.03%</w:t>
            </w:r>
          </w:p>
        </w:tc>
      </w:tr>
      <w:tr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正常</w:t>
            </w:r>
          </w:p>
        </w:tc>
        <w:tc>
          <w:tcPr>
            <w:tcW w:type="dxa" w:w="229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0/7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 w:eastAsia="Arial"/>
                <w:b w:val="0"/>
                <w:sz w:val="19"/>
              </w:rPr>
              <w:t>0%</w:t>
            </w:r>
          </w:p>
        </w:tc>
      </w:tr>
    </w:tbl>
    <w:p>
      <w:pPr>
        <w:spacing w:after="40"/>
      </w:pP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5.2 任务执行耗时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Phase 4 在 RTX 4070 Laptop 8GB 上进行真实现场验收，使用同一训练来源验证副本重复请求：</w:t>
      </w:r>
    </w:p>
    <w:tbl>
      <w:tblPr>
        <w:tblW w:type="dxa" w:w="8180"/>
        <w:tblLayout w:type="fixed"/>
        <w:tblLook w:firstColumn="1" w:firstRow="1" w:lastColumn="0" w:lastRow="0" w:noHBand="0" w:noVBand="1" w:val="04A0"/>
        <w:tblBorders>
          <w:top w:val="single" w:sz="4" w:space="0" w:color="B7C9D3"/>
          <w:left w:val="single" w:sz="4" w:space="0" w:color="B7C9D3"/>
          <w:bottom w:val="single" w:sz="4" w:space="0" w:color="B7C9D3"/>
          <w:right w:val="single" w:sz="4" w:space="0" w:color="B7C9D3"/>
          <w:insideH w:val="single" w:sz="4" w:space="0" w:color="B7C9D3"/>
          <w:insideV w:val="single" w:sz="4" w:space="0" w:color="B7C9D3"/>
        </w:tblBorders>
        <w:tblInd w:w="100" w:type="dxa"/>
      </w:tblPr>
      <w:tblGrid>
        <w:gridCol w:w="2945"/>
        <w:gridCol w:w="5235"/>
      </w:tblGrid>
      <w:tr>
        <w:trPr>
          <w:tblHeader w:val="true"/>
        </w:trPr>
        <w:tc>
          <w:tcPr>
            <w:tcW w:type="dxa" w:w="294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0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场景</w:t>
            </w:r>
          </w:p>
        </w:tc>
        <w:tc>
          <w:tcPr>
            <w:tcW w:type="dxa" w:w="52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0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现场结果</w:t>
            </w:r>
          </w:p>
        </w:tc>
      </w:tr>
      <w:tr>
        <w:tc>
          <w:tcPr>
            <w:tcW w:type="dxa" w:w="294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热态单图视觉模型中位耗时</w:t>
            </w:r>
          </w:p>
        </w:tc>
        <w:tc>
          <w:tcPr>
            <w:tcW w:type="dxa" w:w="52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82.77 ms</w:t>
            </w:r>
          </w:p>
        </w:tc>
      </w:tr>
      <w:tr>
        <w:tc>
          <w:tcPr>
            <w:tcW w:type="dxa" w:w="294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热态分类 HTTP 中位耗时</w:t>
            </w:r>
          </w:p>
        </w:tc>
        <w:tc>
          <w:tcPr>
            <w:tcW w:type="dxa" w:w="52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90.39 ms</w:t>
            </w:r>
          </w:p>
        </w:tc>
      </w:tr>
      <w:tr>
        <w:tc>
          <w:tcPr>
            <w:tcW w:type="dxa" w:w="294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真实 YOLO + Qwen 端到端中位耗时</w:t>
            </w:r>
          </w:p>
        </w:tc>
        <w:tc>
          <w:tcPr>
            <w:tcW w:type="dxa" w:w="52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1,491.46 ms</w:t>
            </w:r>
          </w:p>
        </w:tc>
      </w:tr>
      <w:tr>
        <w:tc>
          <w:tcPr>
            <w:tcW w:type="dxa" w:w="294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Qwen 解释耗时范围</w:t>
            </w:r>
          </w:p>
        </w:tc>
        <w:tc>
          <w:tcPr>
            <w:tcW w:type="dxa" w:w="52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1,178–1,702 ms</w:t>
            </w:r>
          </w:p>
        </w:tc>
      </w:tr>
      <w:tr>
        <w:tc>
          <w:tcPr>
            <w:tcW w:type="dxa" w:w="294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SQLite 审计单次耗时范围</w:t>
            </w:r>
          </w:p>
        </w:tc>
        <w:tc>
          <w:tcPr>
            <w:tcW w:type="dxa" w:w="52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7.7–9.8 ms</w:t>
            </w:r>
          </w:p>
        </w:tc>
      </w:tr>
      <w:tr>
        <w:tc>
          <w:tcPr>
            <w:tcW w:type="dxa" w:w="294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3 并发分类</w:t>
            </w:r>
          </w:p>
        </w:tc>
        <w:tc>
          <w:tcPr>
            <w:tcW w:type="dxa" w:w="52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 w:eastAsia="Arial"/>
                <w:b w:val="0"/>
                <w:sz w:val="19"/>
              </w:rPr>
              <w:t>全部成功，单请求约 395–530 ms</w:t>
            </w:r>
          </w:p>
        </w:tc>
      </w:tr>
    </w:tbl>
    <w:p>
      <w:pPr>
        <w:spacing w:after="40"/>
      </w:pP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单进程工作集约 1.32GiB、私有内存约 3.53GiB。系统采样时总 GPU 显存占用约 1,377/8,188MiB，但 Windows 驱动未提供单进程拆分，因此不把该数值全部归因于本服务。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5.3 系统验收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FastAPI的health、classify、analyze、consult与无效上传路径通过；Qwen的真实任务计划与报告生成协议均已安全验证。Qwen故障降级、非法计划回退、SQLite脱敏字段、Gradio类别咨询回调和浏览器页面结构均通过。页面可明确展示任务计划、知识依据和工具轨迹。当前升级质量门为Ruff全绿、51项pytest通过、`pip check`无冲突。</w:t>
      </w:r>
    </w:p>
    <w:p>
      <w:pPr>
        <w:keepNext/>
        <w:spacing w:before="200" w:after="100" w:line="288" w:lineRule="auto"/>
      </w:pPr>
      <w:r>
        <w:rPr>
          <w:rFonts w:ascii="Arial" w:hAnsi="Arial" w:eastAsia="Arial"/>
          <w:b/>
          <w:sz w:val="24"/>
        </w:rPr>
        <w:t>5.4 结论与迭代方向</w:t>
      </w:r>
    </w:p>
    <w:p>
      <w:pPr>
        <w:spacing w:before="60" w:after="120" w:line="324" w:lineRule="auto"/>
        <w:jc w:val="both"/>
      </w:pPr>
      <w:r>
        <w:rPr>
          <w:rFonts w:ascii="Arial" w:hAnsi="Arial" w:eastAsia="Arial"/>
          <w:b w:val="0"/>
          <w:sz w:val="21"/>
        </w:rPr>
        <w:t>升级版已打通“自然语言任务—Qwen受控计划—本地多工具执行—YOLO视觉事实—复核策略—Qwen报告/本地回退—脱敏审计—官方结果交付”。主要短板仍是极少样本类别，尤其“正常”0 Recall。后续应优先补充可公开追溯且合规的少样本数据，采用类均衡采样、困难样本挖掘和分布漂移评估；在官方允许和案例库具备来源记录后，再启用VL Embedding/Reranker做相似案例辅助。任何扩展都继续保留人工复核、测试集隔离和可追溯交付边界。</w:t>
      </w:r>
    </w:p>
    <w:sectPr w:rsidR="00535497" w:rsidRPr="001266FB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6D3E2" w14:textId="77777777" w:rsidR="000F62EE" w:rsidRDefault="000F62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CDAFC6" w14:textId="77777777" w:rsidR="000F62EE" w:rsidRDefault="000F62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6289E" w14:textId="77777777" w:rsidR="000F62EE" w:rsidRDefault="000F62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D7CB8E" w14:textId="77777777" w:rsidR="000F62EE" w:rsidRDefault="000F62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497"/>
    <w:rsid w:val="000664DA"/>
    <w:rsid w:val="000F62EE"/>
    <w:rsid w:val="001266FB"/>
    <w:rsid w:val="00187E4C"/>
    <w:rsid w:val="001E6A88"/>
    <w:rsid w:val="002E24FC"/>
    <w:rsid w:val="00535497"/>
    <w:rsid w:val="005A39A9"/>
    <w:rsid w:val="005E207F"/>
    <w:rsid w:val="00871924"/>
    <w:rsid w:val="00C55A67"/>
    <w:rsid w:val="00F72004"/>
    <w:rsid w:val="00F9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F087C"/>
  <w15:docId w15:val="{467B1177-9646-4DDA-90B4-A7DE1DC38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24F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266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66F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66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66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54</Words>
  <Characters>74</Characters>
  <Application>Microsoft Office Word</Application>
  <DocSecurity>0</DocSecurity>
  <Lines>10</Lines>
  <Paragraphs>12</Paragraphs>
  <ScaleCrop>false</ScaleCrop>
  <Company> 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参赛队伍</dc:creator>
  <cp:lastModifiedBy>shui liu</cp:lastModifiedBy>
  <cp:revision>4</cp:revision>
  <dcterms:created xsi:type="dcterms:W3CDTF">2026-07-02T06:04:00Z</dcterms:created>
  <dcterms:modified xsi:type="dcterms:W3CDTF">2026-07-30T02:06:00Z</dcterms:modified>
  <dc:title>水域智巡智能体设计方案</dc:title>
  <dc:subject>水域综合异常识别行业智能体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{"Label":"1","ContentProducer":"001191110102MACQD9K64010000","ProduceID":"7657807650266368953","ReservedCode1":"","ContentPropagator":"","PropagateID":"","ReservedCode2":""}</vt:lpwstr>
  </property>
</Properties>
</file>