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6aa84f"/>
        </w:rPr>
      </w:pPr>
      <w:bookmarkStart w:colFirst="0" w:colLast="0" w:name="_es8tlvmle7ml" w:id="0"/>
      <w:bookmarkEnd w:id="0"/>
      <w:r w:rsidDel="00000000" w:rsidR="00000000" w:rsidRPr="00000000">
        <w:rPr>
          <w:b w:val="1"/>
          <w:color w:val="6aa84f"/>
          <w:rtl w:val="0"/>
        </w:rPr>
        <w:t xml:space="preserve">Justificaciones del Modelo</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color w:val="6aa84f"/>
        </w:rPr>
      </w:pPr>
      <w:r w:rsidDel="00000000" w:rsidR="00000000" w:rsidRPr="00000000">
        <w:rPr>
          <w:b w:val="1"/>
          <w:color w:val="6aa84f"/>
          <w:rtl w:val="0"/>
        </w:rPr>
        <w:t xml:space="preserve">Patrones: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color w:val="93c47d"/>
          <w:rtl w:val="0"/>
        </w:rPr>
        <w:t xml:space="preserve">Patrón Strategy:</w:t>
      </w:r>
      <w:r w:rsidDel="00000000" w:rsidR="00000000" w:rsidRPr="00000000">
        <w:rPr>
          <w:rtl w:val="0"/>
        </w:rPr>
        <w:t xml:space="preserve"> este patrón lo utilizamos para declarar las distintas doramas de “notificar” al usuario en caso de que haya ocurrido una urgencia. Decidimos implementarlo ya que cada una de las clases “LlamarUsuario”, “AlertarCuidadores” y “LlamarPolicia” entiende el método alentar() pero lo implementan de manera diferente, osea que tienen distintas formas de resolver el mismo problema.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color w:val="93c47d"/>
          <w:rtl w:val="0"/>
        </w:rPr>
        <w:t xml:space="preserve">Patron State:</w:t>
      </w:r>
      <w:r w:rsidDel="00000000" w:rsidR="00000000" w:rsidRPr="00000000">
        <w:rPr>
          <w:rtl w:val="0"/>
        </w:rPr>
        <w:t xml:space="preserve"> Lo utilizamos para indicar los distintos tipos de usuario que puede tener el sistema, siendo estos Transeunte (Activo) o Cuidador (Pasivo). La idea es que además de clasificarse en los dos modos y hacer sus respectivas acciones, el usuario pueda cambiar de modo.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Ambos patrones se encuentran indicados en el Diagrama de Clases.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color w:val="6aa8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