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ind w:hanging="0" w:start="0" w:end="0"/>
        <w:jc w:val="start"/>
        <w:rPr/>
      </w:pPr>
      <w:r>
        <w:rPr>
          <w:rFonts w:eastAsia="Google Sans;sans-serif"/>
        </w:rPr>
        <w:t>基于</w:t>
      </w:r>
      <w:r>
        <w:rPr>
          <w:rFonts w:ascii="Google Sans;sans-serif" w:hAnsi="Google Sans;sans-serif"/>
        </w:rPr>
        <w:t>Python</w:t>
      </w:r>
      <w:r>
        <w:rPr>
          <w:rFonts w:eastAsia="Google Sans;sans-serif"/>
        </w:rPr>
        <w:t>架构的</w:t>
      </w:r>
      <w:r>
        <w:rPr>
          <w:rFonts w:ascii="Google Sans;sans-serif" w:hAnsi="Google Sans;sans-serif"/>
        </w:rPr>
        <w:t>A</w:t>
      </w:r>
      <w:r>
        <w:rPr>
          <w:rFonts w:eastAsia="Google Sans;sans-serif"/>
        </w:rPr>
        <w:t>股多周期威科夫量化投资可行性与实战路径深度解析报告</w:t>
      </w:r>
    </w:p>
    <w:p>
      <w:pPr>
        <w:pStyle w:val="BodyText"/>
        <w:bidi w:val="0"/>
        <w:spacing w:lineRule="auto" w:line="273" w:before="0" w:after="140"/>
        <w:ind w:hanging="0" w:start="0" w:end="0"/>
        <w:jc w:val="start"/>
        <w:rPr/>
      </w:pPr>
      <w:bookmarkStart w:id="0" w:name="p-c_fa058463f8ed15a9_c68acc42-6019-44ef-"/>
      <w:bookmarkEnd w:id="0"/>
      <w:r>
        <w:rPr>
          <w:rFonts w:eastAsia="Google Sans Text;sans-serif"/>
        </w:rPr>
        <w:t>理查德</w:t>
      </w:r>
      <w:r>
        <w:rPr>
          <w:rFonts w:ascii="Google Sans Text;sans-serif" w:hAnsi="Google Sans Text;sans-serif"/>
        </w:rPr>
        <w:t>·</w:t>
      </w:r>
      <w:r>
        <w:rPr>
          <w:rFonts w:eastAsia="Google Sans Text;sans-serif"/>
        </w:rPr>
        <w:t>威科夫（</w:t>
      </w:r>
      <w:r>
        <w:rPr>
          <w:rFonts w:ascii="Google Sans Text;sans-serif" w:hAnsi="Google Sans Text;sans-serif"/>
        </w:rPr>
        <w:t>Richard D. Wyckoff</w:t>
      </w:r>
      <w:r>
        <w:rPr>
          <w:rFonts w:eastAsia="Google Sans Text;sans-serif"/>
        </w:rPr>
        <w:t>）在</w:t>
      </w:r>
      <w:r>
        <w:rPr>
          <w:rFonts w:ascii="Google Sans Text;sans-serif" w:hAnsi="Google Sans Text;sans-serif"/>
        </w:rPr>
        <w:t>20</w:t>
      </w:r>
      <w:r>
        <w:rPr>
          <w:rFonts w:eastAsia="Google Sans Text;sans-serif"/>
        </w:rPr>
        <w:t>世纪初创立的威科夫方法，历经百年金融市场的无数次牛熊周期洗礼，与道氏理论、波浪理论并称为现代技术分析的三大核心支柱。其核心哲学在于抛弃随机游走假说，从微观市场结构的供求关系入手，通过对价格与成交量行为的深度解剖，洞察“综合人”（</w:t>
      </w:r>
      <w:r>
        <w:rPr>
          <w:rFonts w:ascii="Google Sans Text;sans-serif" w:hAnsi="Google Sans Text;sans-serif"/>
        </w:rPr>
        <w:t>Composite Man</w:t>
      </w:r>
      <w:r>
        <w:rPr>
          <w:rFonts w:eastAsia="Google Sans Text;sans-serif"/>
        </w:rPr>
        <w:t>）——即主导市场的庞大机构资金或主力操纵者的战略意图。该理论精准地揭示了金融资产从吸筹（</w:t>
      </w:r>
      <w:r>
        <w:rPr>
          <w:rFonts w:ascii="Google Sans Text;sans-serif" w:hAnsi="Google Sans Text;sans-serif"/>
        </w:rPr>
        <w:t>Accumulation</w:t>
      </w:r>
      <w:r>
        <w:rPr>
          <w:rFonts w:eastAsia="Google Sans Text;sans-serif"/>
        </w:rPr>
        <w:t>）、拉升（</w:t>
      </w:r>
      <w:r>
        <w:rPr>
          <w:rFonts w:ascii="Google Sans Text;sans-serif" w:hAnsi="Google Sans Text;sans-serif"/>
        </w:rPr>
        <w:t>Markup</w:t>
      </w:r>
      <w:r>
        <w:rPr>
          <w:rFonts w:eastAsia="Google Sans Text;sans-serif"/>
        </w:rPr>
        <w:t>）、派发（</w:t>
      </w:r>
      <w:r>
        <w:rPr>
          <w:rFonts w:ascii="Google Sans Text;sans-serif" w:hAnsi="Google Sans Text;sans-serif"/>
        </w:rPr>
        <w:t>Distribution</w:t>
      </w:r>
      <w:r>
        <w:rPr>
          <w:rFonts w:eastAsia="Google Sans Text;sans-serif"/>
        </w:rPr>
        <w:t>）到打压（</w:t>
      </w:r>
      <w:r>
        <w:rPr>
          <w:rFonts w:ascii="Google Sans Text;sans-serif" w:hAnsi="Google Sans Text;sans-serif"/>
        </w:rPr>
        <w:t>Markdown</w:t>
      </w:r>
      <w:r>
        <w:rPr>
          <w:rFonts w:eastAsia="Google Sans Text;sans-serif"/>
        </w:rPr>
        <w:t>）的完整生命周期规律。</w:t>
      </w:r>
    </w:p>
    <w:p>
      <w:pPr>
        <w:pStyle w:val="BodyText"/>
        <w:bidi w:val="0"/>
        <w:spacing w:lineRule="auto" w:line="273" w:before="0" w:after="140"/>
        <w:ind w:hanging="0" w:start="0" w:end="0"/>
        <w:jc w:val="start"/>
        <w:rPr/>
      </w:pPr>
      <w:bookmarkStart w:id="1" w:name="p-c_fa058463f8ed15a9_c68acc42-6019-44ef1"/>
      <w:bookmarkEnd w:id="1"/>
      <w:r>
        <w:rPr>
          <w:rFonts w:eastAsia="Google Sans Text;sans-serif"/>
        </w:rPr>
        <w:t>在现代量化金融的视阈下，随着算力的指数级跃升与人工智能算法的普及，传统威科夫分析长期面临的主观性强、形态边界模糊等瓶颈正在被系统性地攻克。特别是在中国</w:t>
      </w:r>
      <w:r>
        <w:rPr>
          <w:rFonts w:ascii="Google Sans Text;sans-serif" w:hAnsi="Google Sans Text;sans-serif"/>
        </w:rPr>
        <w:t>A</w:t>
      </w:r>
      <w:r>
        <w:rPr>
          <w:rFonts w:eastAsia="Google Sans Text;sans-serif"/>
        </w:rPr>
        <w:t>股市场，由于其实行独特的</w:t>
      </w:r>
      <w:r>
        <w:rPr>
          <w:rFonts w:ascii="Google Sans Text;sans-serif" w:hAnsi="Google Sans Text;sans-serif"/>
        </w:rPr>
        <w:t>T+1</w:t>
      </w:r>
      <w:r>
        <w:rPr>
          <w:rFonts w:eastAsia="Google Sans Text;sans-serif"/>
        </w:rPr>
        <w:t>交割制度、严格的涨跌幅限制（如</w:t>
      </w:r>
      <w:r>
        <w:rPr>
          <w:rFonts w:ascii="Google Sans Text;sans-serif" w:hAnsi="Google Sans Text;sans-serif"/>
        </w:rPr>
        <w:t>10%</w:t>
      </w:r>
      <w:r>
        <w:rPr>
          <w:rFonts w:eastAsia="Google Sans Text;sans-serif"/>
        </w:rPr>
        <w:t>或</w:t>
      </w:r>
      <w:r>
        <w:rPr>
          <w:rFonts w:ascii="Google Sans Text;sans-serif" w:hAnsi="Google Sans Text;sans-serif"/>
        </w:rPr>
        <w:t>20%</w:t>
      </w:r>
      <w:r>
        <w:rPr>
          <w:rFonts w:eastAsia="Google Sans Text;sans-serif"/>
        </w:rPr>
        <w:t>的日内熔断机制），以及个人投资者主导流动性但机构投资者主导定价权的二元市场结构，使得“综合人”的吸筹与派发行为在日线及更高级别的时间周期上留下了极为清晰的量价特征。在此背景下，利用</w:t>
      </w:r>
      <w:r>
        <w:rPr>
          <w:rFonts w:ascii="Google Sans Text;sans-serif" w:hAnsi="Google Sans Text;sans-serif"/>
        </w:rPr>
        <w:t>Python</w:t>
      </w:r>
      <w:r>
        <w:rPr>
          <w:rFonts w:eastAsia="Google Sans Text;sans-serif"/>
        </w:rPr>
        <w:t>作为核心底层开发语言，依托本地</w:t>
      </w:r>
      <w:r>
        <w:rPr>
          <w:rFonts w:ascii="Google Sans Text;sans-serif" w:hAnsi="Google Sans Text;sans-serif"/>
        </w:rPr>
        <w:t>A</w:t>
      </w:r>
      <w:r>
        <w:rPr>
          <w:rFonts w:eastAsia="Google Sans Text;sans-serif"/>
        </w:rPr>
        <w:t>股日线级别的数据源，通过严谨的重采样算法合成周线和月线以构建多周期（</w:t>
      </w:r>
      <w:r>
        <w:rPr>
          <w:rFonts w:ascii="Google Sans Text;sans-serif" w:hAnsi="Google Sans Text;sans-serif"/>
        </w:rPr>
        <w:t>Multi-timeframe</w:t>
      </w:r>
      <w:r>
        <w:rPr>
          <w:rFonts w:eastAsia="Google Sans Text;sans-serif"/>
        </w:rPr>
        <w:t>）共振过滤系统，进而将威科夫分析全面量化并应用于投资决策，不仅在理论上具备高度的可行性，在工程架构与统计概率上也拥有明确且经过验证的落地路径。</w:t>
      </w:r>
    </w:p>
    <w:p>
      <w:pPr>
        <w:pStyle w:val="Heading2"/>
        <w:bidi w:val="0"/>
        <w:spacing w:lineRule="auto" w:line="273" w:before="0" w:after="140"/>
        <w:ind w:hanging="0" w:start="0" w:end="0"/>
        <w:jc w:val="start"/>
        <w:rPr>
          <w:rFonts w:eastAsia="Google Sans;sans-serif"/>
        </w:rPr>
      </w:pPr>
      <w:r>
        <w:rPr>
          <w:rFonts w:eastAsia="Google Sans;sans-serif"/>
        </w:rPr>
        <w:t>威科夫三大基本法则的经济学抽象与量化特征映射</w:t>
      </w:r>
    </w:p>
    <w:p>
      <w:pPr>
        <w:pStyle w:val="BodyText"/>
        <w:bidi w:val="0"/>
        <w:spacing w:lineRule="auto" w:line="273" w:before="0" w:after="140"/>
        <w:ind w:hanging="0" w:start="0" w:end="0"/>
        <w:jc w:val="start"/>
        <w:rPr/>
      </w:pPr>
      <w:r>
        <w:rPr>
          <w:rFonts w:eastAsia="Google Sans Text;sans-serif"/>
        </w:rPr>
        <w:t>威科夫理论并非刻板的几何图形识别，而是建立在坚实的经济学与物理学隐喻之上的逻辑推演。要将这套理论转化为</w:t>
      </w:r>
      <w:r>
        <w:rPr>
          <w:rFonts w:ascii="Google Sans Text;sans-serif" w:hAnsi="Google Sans Text;sans-serif"/>
        </w:rPr>
        <w:t>Python</w:t>
      </w:r>
      <w:r>
        <w:rPr>
          <w:rFonts w:eastAsia="Google Sans Text;sans-serif"/>
        </w:rPr>
        <w:t>环境下的可执行算法，首要任务是将三大基本法则进行严密的数学抽象与特征工程映射。</w:t>
      </w:r>
    </w:p>
    <w:p>
      <w:pPr>
        <w:pStyle w:val="BodyText"/>
        <w:bidi w:val="0"/>
        <w:spacing w:lineRule="auto" w:line="273" w:before="0" w:after="140"/>
        <w:ind w:hanging="0" w:start="0" w:end="0"/>
        <w:jc w:val="start"/>
        <w:rPr/>
      </w:pPr>
      <w:bookmarkStart w:id="2" w:name="p-c_fa058463f8ed15a9_c68acc42-6019-44ef2"/>
      <w:bookmarkEnd w:id="2"/>
      <w:r>
        <w:rPr>
          <w:rFonts w:eastAsia="Google Sans Text;sans-serif"/>
        </w:rPr>
        <w:t>供求法则（</w:t>
      </w:r>
      <w:r>
        <w:rPr>
          <w:rFonts w:ascii="Google Sans Text;sans-serif" w:hAnsi="Google Sans Text;sans-serif"/>
        </w:rPr>
        <w:t>Law of Supply and Demand</w:t>
      </w:r>
      <w:r>
        <w:rPr>
          <w:rFonts w:eastAsia="Google Sans Text;sans-serif"/>
        </w:rPr>
        <w:t>）是决定资产价格运动方向的绝对底层逻辑。在任何自由竞价的金融市场中，价格的上涨并非因为买家数量多于卖家，而是因为买方（需求）的意愿比卖方（供给）更为激进，从而扫清了上方的挂单；反之，当供给压倒需求时，价格不可避免地滑落。在量化映射中，供求的失衡状态不能仅仅依靠收盘价的涨跌来判定，而需要通过计算相对成交量（</w:t>
      </w:r>
      <w:r>
        <w:rPr>
          <w:rFonts w:ascii="Google Sans Text;sans-serif" w:hAnsi="Google Sans Text;sans-serif"/>
        </w:rPr>
        <w:t>Relative Volume</w:t>
      </w:r>
      <w:r>
        <w:rPr>
          <w:rFonts w:eastAsia="Google Sans Text;sans-serif"/>
        </w:rPr>
        <w:t>）、买卖盘口深度（如</w:t>
      </w:r>
      <w:r>
        <w:rPr>
          <w:rFonts w:ascii="Google Sans Text;sans-serif" w:hAnsi="Google Sans Text;sans-serif"/>
        </w:rPr>
        <w:t>Level-2</w:t>
      </w:r>
      <w:r>
        <w:rPr>
          <w:rFonts w:eastAsia="Google Sans Text;sans-serif"/>
        </w:rPr>
        <w:t>数据的降频映射）以及日内价格振幅与成交量的偏离度来进行刻画。当价格处于横盘区间时，若日线显示收窄的价格极差（</w:t>
      </w:r>
      <w:r>
        <w:rPr>
          <w:rFonts w:ascii="Google Sans Text;sans-serif" w:hAnsi="Google Sans Text;sans-serif"/>
        </w:rPr>
        <w:t>Spread</w:t>
      </w:r>
      <w:r>
        <w:rPr>
          <w:rFonts w:eastAsia="Google Sans Text;sans-serif"/>
        </w:rPr>
        <w:t>）但伴随递减的成交量，算法即可初步判定市场处于供求平衡的僵持阶段（</w:t>
      </w:r>
      <w:r>
        <w:rPr>
          <w:rFonts w:ascii="Google Sans Text;sans-serif" w:hAnsi="Google Sans Text;sans-serif"/>
        </w:rPr>
        <w:t>Stalemate</w:t>
      </w:r>
      <w:r>
        <w:rPr>
          <w:rFonts w:eastAsia="Google Sans Text;sans-serif"/>
        </w:rPr>
        <w:t>），这是吸筹或派发周期的典型前兆。</w:t>
      </w:r>
    </w:p>
    <w:p>
      <w:pPr>
        <w:pStyle w:val="BodyText"/>
        <w:bidi w:val="0"/>
        <w:spacing w:lineRule="auto" w:line="273" w:before="0" w:after="140"/>
        <w:ind w:hanging="0" w:start="0" w:end="0"/>
        <w:jc w:val="start"/>
        <w:rPr/>
      </w:pPr>
      <w:bookmarkStart w:id="3" w:name="p-c_fa058463f8ed15a9_c68acc42-6019-44ef3"/>
      <w:bookmarkEnd w:id="3"/>
      <w:r>
        <w:rPr>
          <w:rFonts w:eastAsia="Google Sans Text;sans-serif"/>
        </w:rPr>
        <w:t>因果法则（</w:t>
      </w:r>
      <w:r>
        <w:rPr>
          <w:rFonts w:ascii="Google Sans Text;sans-serif" w:hAnsi="Google Sans Text;sans-serif"/>
        </w:rPr>
        <w:t>Law of Cause and Effect</w:t>
      </w:r>
      <w:r>
        <w:rPr>
          <w:rFonts w:eastAsia="Google Sans Text;sans-serif"/>
        </w:rPr>
        <w:t>）深刻揭示了趋势形成的必然性及其潜在能量的爆发幅度。威科夫指出，市场不会在真空中产生趋势，每一次宏大的拉升（果）都必然源于前期漫长的底部吸筹震荡（因）。这一法则与</w:t>
      </w:r>
      <w:r>
        <w:rPr>
          <w:rFonts w:ascii="Google Sans Text;sans-serif" w:hAnsi="Google Sans Text;sans-serif"/>
        </w:rPr>
        <w:t>A</w:t>
      </w:r>
      <w:r>
        <w:rPr>
          <w:rFonts w:eastAsia="Google Sans Text;sans-serif"/>
        </w:rPr>
        <w:t>股市场中广为流传的“横有多长，竖有多高”的交易俗语形成了完美的跨时代共鸣。在</w:t>
      </w:r>
      <w:r>
        <w:rPr>
          <w:rFonts w:ascii="Google Sans Text;sans-serif" w:hAnsi="Google Sans Text;sans-serif"/>
        </w:rPr>
        <w:t>Python</w:t>
      </w:r>
      <w:r>
        <w:rPr>
          <w:rFonts w:eastAsia="Google Sans Text;sans-serif"/>
        </w:rPr>
        <w:t>量化架构中，因果法则通过点数图（</w:t>
      </w:r>
      <w:r>
        <w:rPr>
          <w:rFonts w:ascii="Google Sans Text;sans-serif" w:hAnsi="Google Sans Text;sans-serif"/>
        </w:rPr>
        <w:t>Point and Figure, P&amp;F</w:t>
      </w:r>
      <w:r>
        <w:rPr>
          <w:rFonts w:eastAsia="Google Sans Text;sans-serif"/>
        </w:rPr>
        <w:t>）算法得到了极为精准的复刻。通过编写动态的</w:t>
      </w:r>
      <w:r>
        <w:rPr>
          <w:rFonts w:ascii="Google Sans Text;sans-serif" w:hAnsi="Google Sans Text;sans-serif"/>
        </w:rPr>
        <w:t>P&amp;F</w:t>
      </w:r>
      <w:r>
        <w:rPr>
          <w:rFonts w:eastAsia="Google Sans Text;sans-serif"/>
        </w:rPr>
        <w:t>网格计算模块，系统能够精确量化水平震荡区间的点数累积，从而测算未来价格爆发的目标位。实证数据显示，对于某只</w:t>
      </w:r>
      <w:r>
        <w:rPr>
          <w:rFonts w:ascii="Google Sans Text;sans-serif" w:hAnsi="Google Sans Text;sans-serif"/>
        </w:rPr>
        <w:t>A</w:t>
      </w:r>
      <w:r>
        <w:rPr>
          <w:rFonts w:eastAsia="Google Sans Text;sans-serif"/>
        </w:rPr>
        <w:t>股消费白马股，其在</w:t>
      </w:r>
      <w:r>
        <w:rPr>
          <w:rFonts w:ascii="Google Sans Text;sans-serif" w:hAnsi="Google Sans Text;sans-serif"/>
        </w:rPr>
        <w:t>120</w:t>
      </w:r>
      <w:r>
        <w:rPr>
          <w:rFonts w:eastAsia="Google Sans Text;sans-serif"/>
        </w:rPr>
        <w:t>元至</w:t>
      </w:r>
      <w:r>
        <w:rPr>
          <w:rFonts w:ascii="Google Sans Text;sans-serif" w:hAnsi="Google Sans Text;sans-serif"/>
        </w:rPr>
        <w:t>150</w:t>
      </w:r>
      <w:r>
        <w:rPr>
          <w:rFonts w:eastAsia="Google Sans Text;sans-serif"/>
        </w:rPr>
        <w:t>元区间经历了长达</w:t>
      </w:r>
      <w:r>
        <w:rPr>
          <w:rFonts w:ascii="Google Sans Text;sans-serif" w:hAnsi="Google Sans Text;sans-serif"/>
        </w:rPr>
        <w:t>18</w:t>
      </w:r>
      <w:r>
        <w:rPr>
          <w:rFonts w:eastAsia="Google Sans Text;sans-serif"/>
        </w:rPr>
        <w:t>个月的盘整（构筑“因”），随后成功实现了</w:t>
      </w:r>
      <w:r>
        <w:rPr>
          <w:rFonts w:ascii="Google Sans Text;sans-serif" w:hAnsi="Google Sans Text;sans-serif"/>
        </w:rPr>
        <w:t>80</w:t>
      </w:r>
      <w:r>
        <w:rPr>
          <w:rFonts w:eastAsia="Google Sans Text;sans-serif"/>
        </w:rPr>
        <w:t>元的涨幅（实现“果”），</w:t>
      </w:r>
      <w:r>
        <w:rPr>
          <w:rFonts w:ascii="Google Sans Text;sans-serif" w:hAnsi="Google Sans Text;sans-serif"/>
        </w:rPr>
        <w:t>P&amp;F</w:t>
      </w:r>
      <w:r>
        <w:rPr>
          <w:rFonts w:eastAsia="Google Sans Text;sans-serif"/>
        </w:rPr>
        <w:t>计数算法给出的理论目标位与实际涨幅误差仅为</w:t>
      </w:r>
      <w:r>
        <w:rPr>
          <w:rFonts w:ascii="Google Sans Text;sans-serif" w:hAnsi="Google Sans Text;sans-serif"/>
        </w:rPr>
        <w:t>5%</w:t>
      </w:r>
      <w:r>
        <w:rPr>
          <w:rFonts w:eastAsia="Google Sans Text;sans-serif"/>
        </w:rPr>
        <w:t>。这种高精度的前瞻性测算，为量化策略提供了极具价值的盈亏比（</w:t>
      </w:r>
      <w:r>
        <w:rPr>
          <w:rFonts w:ascii="Google Sans Text;sans-serif" w:hAnsi="Google Sans Text;sans-serif"/>
        </w:rPr>
        <w:t>Risk/Reward Ratio</w:t>
      </w:r>
      <w:r>
        <w:rPr>
          <w:rFonts w:eastAsia="Google Sans Text;sans-serif"/>
        </w:rPr>
        <w:t>）评估基础。</w:t>
      </w:r>
    </w:p>
    <w:p>
      <w:pPr>
        <w:pStyle w:val="BodyText"/>
        <w:bidi w:val="0"/>
        <w:spacing w:lineRule="auto" w:line="273" w:before="0" w:after="140"/>
        <w:ind w:hanging="0" w:start="0" w:end="0"/>
        <w:jc w:val="start"/>
        <w:rPr/>
      </w:pPr>
      <w:bookmarkStart w:id="4" w:name="p-c_fa058463f8ed15a9_c68acc42-6019-44ef4"/>
      <w:bookmarkEnd w:id="4"/>
      <w:r>
        <w:rPr>
          <w:rFonts w:eastAsia="Google Sans Text;sans-serif"/>
        </w:rPr>
        <w:t>努力与结果法则（</w:t>
      </w:r>
      <w:r>
        <w:rPr>
          <w:rFonts w:ascii="Google Sans Text;sans-serif" w:hAnsi="Google Sans Text;sans-serif"/>
        </w:rPr>
        <w:t>Law of Effort vs Result</w:t>
      </w:r>
      <w:r>
        <w:rPr>
          <w:rFonts w:eastAsia="Google Sans Text;sans-serif"/>
        </w:rPr>
        <w:t>）则聚焦于市场运行的摩擦力与动能背离。成交量代表着资金投入的“努力”程度，而价格的实际位移代表了产生的“结果”。当这两者出现结构性背离时，往往是原有趋势即将终结的早期预警。例如，在</w:t>
      </w:r>
      <w:r>
        <w:rPr>
          <w:rFonts w:ascii="Google Sans Text;sans-serif" w:hAnsi="Google Sans Text;sans-serif"/>
        </w:rPr>
        <w:t>A</w:t>
      </w:r>
      <w:r>
        <w:rPr>
          <w:rFonts w:eastAsia="Google Sans Text;sans-serif"/>
        </w:rPr>
        <w:t>股市场中，某券商股在</w:t>
      </w:r>
      <w:r>
        <w:rPr>
          <w:rFonts w:ascii="Google Sans Text;sans-serif" w:hAnsi="Google Sans Text;sans-serif"/>
        </w:rPr>
        <w:t>2024</w:t>
      </w:r>
      <w:r>
        <w:rPr>
          <w:rFonts w:eastAsia="Google Sans Text;sans-serif"/>
        </w:rPr>
        <w:t>年</w:t>
      </w:r>
      <w:r>
        <w:rPr>
          <w:rFonts w:ascii="Google Sans Text;sans-serif" w:hAnsi="Google Sans Text;sans-serif"/>
        </w:rPr>
        <w:t>4</w:t>
      </w:r>
      <w:r>
        <w:rPr>
          <w:rFonts w:eastAsia="Google Sans Text;sans-serif"/>
        </w:rPr>
        <w:t>月放出了历史级别的天量成交（巨大的努力），但当日或当周的收盘价仅微幅上涨了</w:t>
      </w:r>
      <w:r>
        <w:rPr>
          <w:rFonts w:ascii="Google Sans Text;sans-serif" w:hAnsi="Google Sans Text;sans-serif"/>
        </w:rPr>
        <w:t>2%</w:t>
      </w:r>
      <w:r>
        <w:rPr>
          <w:rFonts w:eastAsia="Google Sans Text;sans-serif"/>
        </w:rPr>
        <w:t>（微小的结果），这种显著的量价背离在量化算法中将被即时捕捉并标记为主力资金暗中派发的极度高危信号。反之，如果某只科技股在经历了连续三根阴线的缩量洗盘后，突然放量并以涨停板报收，这种低努力高结果或高努力高结果的突变，清晰地向算法传递了需求正重新主导市场的信号。</w:t>
      </w:r>
    </w:p>
    <w:tbl>
      <w:tblPr>
        <w:tblW w:w="9638" w:type="dxa"/>
        <w:jc w:val="start"/>
        <w:tblInd w:w="0" w:type="dxa"/>
        <w:tblLayout w:type="fixed"/>
        <w:tblCellMar>
          <w:top w:w="120" w:type="dxa"/>
          <w:start w:w="180" w:type="dxa"/>
          <w:bottom w:w="120" w:type="dxa"/>
          <w:end w:w="180" w:type="dxa"/>
        </w:tblCellMar>
      </w:tblPr>
      <w:tblGrid>
        <w:gridCol w:w="955"/>
        <w:gridCol w:w="2145"/>
        <w:gridCol w:w="3435"/>
        <w:gridCol w:w="3103"/>
      </w:tblGrid>
      <w:tr>
        <w:trPr>
          <w:tblHeader w:val="true"/>
        </w:trPr>
        <w:tc>
          <w:tcPr>
            <w:tcW w:w="95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eastAsia="Google Sans Text;sans-serif"/>
              </w:rPr>
              <w:t>威科夫法则</w:t>
            </w:r>
          </w:p>
        </w:tc>
        <w:tc>
          <w:tcPr>
            <w:tcW w:w="21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eastAsia="Google Sans Text;sans-serif"/>
              </w:rPr>
              <w:t>核心哲学与市场机制</w:t>
            </w:r>
          </w:p>
        </w:tc>
        <w:tc>
          <w:tcPr>
            <w:tcW w:w="343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ascii="Google Sans Text;sans-serif" w:hAnsi="Google Sans Text;sans-serif"/>
              </w:rPr>
              <w:t>Python</w:t>
            </w:r>
            <w:r>
              <w:rPr>
                <w:rStyle w:val="Strong"/>
                <w:rFonts w:eastAsia="Google Sans Text;sans-serif"/>
              </w:rPr>
              <w:t>量化特征提取与算法表征</w:t>
            </w:r>
          </w:p>
        </w:tc>
        <w:tc>
          <w:tcPr>
            <w:tcW w:w="310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ascii="Google Sans Text;sans-serif" w:hAnsi="Google Sans Text;sans-serif"/>
              </w:rPr>
              <w:t>A</w:t>
            </w:r>
            <w:r>
              <w:rPr>
                <w:rStyle w:val="Strong"/>
                <w:rFonts w:eastAsia="Google Sans Text;sans-serif"/>
              </w:rPr>
              <w:t>股市场微观行为印证</w:t>
            </w:r>
          </w:p>
        </w:tc>
      </w:tr>
      <w:tr>
        <w:trPr/>
        <w:tc>
          <w:tcPr>
            <w:tcW w:w="95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供求法则</w:t>
            </w:r>
          </w:p>
        </w:tc>
        <w:tc>
          <w:tcPr>
            <w:tcW w:w="21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供需相对力量决定价格路径（阻力最小路径）</w:t>
            </w:r>
          </w:p>
        </w:tc>
        <w:tc>
          <w:tcPr>
            <w:tcW w:w="343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eastAsia="Google Sans Text;sans-serif"/>
              </w:rPr>
              <w:t>相对成交量（</w:t>
            </w:r>
            <w:r>
              <w:rPr>
                <w:rFonts w:ascii="Google Sans Text;sans-serif" w:hAnsi="Google Sans Text;sans-serif"/>
              </w:rPr>
              <w:t>RVOL</w:t>
            </w:r>
            <w:r>
              <w:rPr>
                <w:rFonts w:eastAsia="Google Sans Text;sans-serif"/>
              </w:rPr>
              <w:t>）、价格极差（</w:t>
            </w:r>
            <w:r>
              <w:rPr>
                <w:rFonts w:ascii="Google Sans Text;sans-serif" w:hAnsi="Google Sans Text;sans-serif"/>
              </w:rPr>
              <w:t>Spread</w:t>
            </w:r>
            <w:r>
              <w:rPr>
                <w:rFonts w:eastAsia="Google Sans Text;sans-serif"/>
              </w:rPr>
              <w:t>）与成交量的线性回归残差</w:t>
            </w:r>
          </w:p>
        </w:tc>
        <w:tc>
          <w:tcPr>
            <w:tcW w:w="310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机构建仓期波动率收敛；游资拉升期需求激增打板</w:t>
            </w:r>
          </w:p>
        </w:tc>
      </w:tr>
      <w:tr>
        <w:trPr/>
        <w:tc>
          <w:tcPr>
            <w:tcW w:w="95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因果法则</w:t>
            </w:r>
          </w:p>
        </w:tc>
        <w:tc>
          <w:tcPr>
            <w:tcW w:w="21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能量的横向蓄积决定纵向爆发的幅度</w:t>
            </w:r>
          </w:p>
        </w:tc>
        <w:tc>
          <w:tcPr>
            <w:tcW w:w="343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eastAsia="Google Sans Text;sans-serif"/>
              </w:rPr>
              <w:t>点数图（</w:t>
            </w:r>
            <w:r>
              <w:rPr>
                <w:rFonts w:ascii="Google Sans Text;sans-serif" w:hAnsi="Google Sans Text;sans-serif"/>
              </w:rPr>
              <w:t>P&amp;F</w:t>
            </w:r>
            <w:r>
              <w:rPr>
                <w:rFonts w:eastAsia="Google Sans Text;sans-serif"/>
              </w:rPr>
              <w:t>）水平计数矩阵、震荡周期持仓成本分布（</w:t>
            </w:r>
            <w:r>
              <w:rPr>
                <w:rFonts w:ascii="Google Sans Text;sans-serif" w:hAnsi="Google Sans Text;sans-serif"/>
              </w:rPr>
              <w:t>Volume Profile</w:t>
            </w:r>
            <w:r>
              <w:rPr>
                <w:rFonts w:eastAsia="Google Sans Text;sans-serif"/>
              </w:rPr>
              <w:t>）</w:t>
            </w:r>
          </w:p>
        </w:tc>
        <w:tc>
          <w:tcPr>
            <w:tcW w:w="310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底部长期横盘洗筹导致的筹码高度集中，突破后的连续一字板</w:t>
            </w:r>
          </w:p>
        </w:tc>
      </w:tr>
      <w:tr>
        <w:trPr/>
        <w:tc>
          <w:tcPr>
            <w:tcW w:w="95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努力与结果法则</w:t>
            </w:r>
          </w:p>
        </w:tc>
        <w:tc>
          <w:tcPr>
            <w:tcW w:w="21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成交量（动能）与价格位移（做功）的背离度</w:t>
            </w:r>
          </w:p>
        </w:tc>
        <w:tc>
          <w:tcPr>
            <w:tcW w:w="343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eastAsia="Google Sans Text;sans-serif"/>
              </w:rPr>
              <w:t>量价散点图拟合离差、局部动量震荡器（</w:t>
            </w:r>
            <w:r>
              <w:rPr>
                <w:rFonts w:ascii="Google Sans Text;sans-serif" w:hAnsi="Google Sans Text;sans-serif"/>
              </w:rPr>
              <w:t>MACD/RSI</w:t>
            </w:r>
            <w:r>
              <w:rPr>
                <w:rFonts w:eastAsia="Google Sans Text;sans-serif"/>
              </w:rPr>
              <w:t>）背离计算</w:t>
            </w:r>
          </w:p>
        </w:tc>
        <w:tc>
          <w:tcPr>
            <w:tcW w:w="310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顶部放量滞涨（主力暗中派发）；底部放量滞跌（恐慌盘被机构承接）</w:t>
            </w:r>
          </w:p>
        </w:tc>
      </w:tr>
    </w:tbl>
    <w:p>
      <w:pPr>
        <w:pStyle w:val="Heading2"/>
        <w:bidi w:val="0"/>
        <w:spacing w:lineRule="auto" w:line="273" w:before="0" w:after="140"/>
        <w:ind w:hanging="0" w:start="0" w:end="0"/>
        <w:jc w:val="start"/>
        <w:rPr>
          <w:rFonts w:eastAsia="Google Sans;sans-serif"/>
        </w:rPr>
      </w:pPr>
      <w:r>
        <w:rPr>
          <w:rFonts w:eastAsia="Google Sans;sans-serif"/>
        </w:rPr>
        <w:t>威科夫吸筹与派发周期的结构化解析与事件标注</w:t>
      </w:r>
    </w:p>
    <w:p>
      <w:pPr>
        <w:pStyle w:val="BodyText"/>
        <w:bidi w:val="0"/>
        <w:spacing w:lineRule="auto" w:line="273" w:before="0" w:after="140"/>
        <w:ind w:hanging="0" w:start="0" w:end="0"/>
        <w:jc w:val="start"/>
        <w:rPr/>
      </w:pPr>
      <w:bookmarkStart w:id="5" w:name="p-c_fa058463f8ed15a9_c68acc42-6019-44ef5"/>
      <w:bookmarkEnd w:id="5"/>
      <w:r>
        <w:rPr>
          <w:rFonts w:eastAsia="Google Sans Text;sans-serif"/>
        </w:rPr>
        <w:t>威科夫描述的价格运动并非完全随机的游走，而是受制于具有明确战略意图的四个宏观循环阶段：吸筹（</w:t>
      </w:r>
      <w:r>
        <w:rPr>
          <w:rFonts w:ascii="Google Sans Text;sans-serif" w:hAnsi="Google Sans Text;sans-serif"/>
        </w:rPr>
        <w:t>Accumulation</w:t>
      </w:r>
      <w:r>
        <w:rPr>
          <w:rFonts w:eastAsia="Google Sans Text;sans-serif"/>
        </w:rPr>
        <w:t>）、上升趋势（</w:t>
      </w:r>
      <w:r>
        <w:rPr>
          <w:rFonts w:ascii="Google Sans Text;sans-serif" w:hAnsi="Google Sans Text;sans-serif"/>
        </w:rPr>
        <w:t>Markup</w:t>
      </w:r>
      <w:r>
        <w:rPr>
          <w:rFonts w:eastAsia="Google Sans Text;sans-serif"/>
        </w:rPr>
        <w:t>）、派发（</w:t>
      </w:r>
      <w:r>
        <w:rPr>
          <w:rFonts w:ascii="Google Sans Text;sans-serif" w:hAnsi="Google Sans Text;sans-serif"/>
        </w:rPr>
        <w:t>Distribution</w:t>
      </w:r>
      <w:r>
        <w:rPr>
          <w:rFonts w:eastAsia="Google Sans Text;sans-serif"/>
        </w:rPr>
        <w:t>）和下降趋势（</w:t>
      </w:r>
      <w:r>
        <w:rPr>
          <w:rFonts w:ascii="Google Sans Text;sans-serif" w:hAnsi="Google Sans Text;sans-serif"/>
        </w:rPr>
        <w:t>Markdown</w:t>
      </w:r>
      <w:r>
        <w:rPr>
          <w:rFonts w:eastAsia="Google Sans Text;sans-serif"/>
        </w:rPr>
        <w:t>）。在更细微的颗粒度上，一个完整的吸筹或派发区间（</w:t>
      </w:r>
      <w:r>
        <w:rPr>
          <w:rFonts w:ascii="Google Sans Text;sans-serif" w:hAnsi="Google Sans Text;sans-serif"/>
        </w:rPr>
        <w:t>Trading Range, TR</w:t>
      </w:r>
      <w:r>
        <w:rPr>
          <w:rFonts w:eastAsia="Google Sans Text;sans-serif"/>
        </w:rPr>
        <w:t>）被划分为</w:t>
      </w:r>
      <w:r>
        <w:rPr>
          <w:rFonts w:ascii="Google Sans Text;sans-serif" w:hAnsi="Google Sans Text;sans-serif"/>
        </w:rPr>
        <w:t>A</w:t>
      </w:r>
      <w:r>
        <w:rPr>
          <w:rFonts w:eastAsia="Google Sans Text;sans-serif"/>
        </w:rPr>
        <w:t>至</w:t>
      </w:r>
      <w:r>
        <w:rPr>
          <w:rFonts w:ascii="Google Sans Text;sans-serif" w:hAnsi="Google Sans Text;sans-serif"/>
        </w:rPr>
        <w:t>E</w:t>
      </w:r>
      <w:r>
        <w:rPr>
          <w:rFonts w:eastAsia="Google Sans Text;sans-serif"/>
        </w:rPr>
        <w:t>五个子阶段，并伴随着</w:t>
      </w:r>
      <w:r>
        <w:rPr>
          <w:rFonts w:ascii="Google Sans Text;sans-serif" w:hAnsi="Google Sans Text;sans-serif"/>
        </w:rPr>
        <w:t>7</w:t>
      </w:r>
      <w:r>
        <w:rPr>
          <w:rFonts w:eastAsia="Google Sans Text;sans-serif"/>
        </w:rPr>
        <w:t>个具有高度识别特征的标志性事件。</w:t>
      </w:r>
    </w:p>
    <w:p>
      <w:pPr>
        <w:pStyle w:val="BodyText"/>
        <w:bidi w:val="0"/>
        <w:spacing w:lineRule="auto" w:line="273" w:before="0" w:after="140"/>
        <w:ind w:hanging="0" w:start="0" w:end="0"/>
        <w:jc w:val="start"/>
        <w:rPr/>
      </w:pPr>
      <w:bookmarkStart w:id="6" w:name="p-c_fa058463f8ed15a9_c68acc42-6019-44ef6"/>
      <w:bookmarkEnd w:id="6"/>
      <w:r>
        <w:rPr>
          <w:rFonts w:eastAsia="Google Sans Text;sans-serif"/>
        </w:rPr>
        <w:t>在吸筹模型的</w:t>
      </w:r>
      <w:r>
        <w:rPr>
          <w:rFonts w:ascii="Google Sans Text;sans-serif" w:hAnsi="Google Sans Text;sans-serif"/>
        </w:rPr>
        <w:t>A</w:t>
      </w:r>
      <w:r>
        <w:rPr>
          <w:rFonts w:eastAsia="Google Sans Text;sans-serif"/>
        </w:rPr>
        <w:t>阶段（</w:t>
      </w:r>
      <w:r>
        <w:rPr>
          <w:rFonts w:ascii="Google Sans Text;sans-serif" w:hAnsi="Google Sans Text;sans-serif"/>
        </w:rPr>
        <w:t>Phase A</w:t>
      </w:r>
      <w:r>
        <w:rPr>
          <w:rFonts w:eastAsia="Google Sans Text;sans-serif"/>
        </w:rPr>
        <w:t>），先前的下降趋势动能开始被系统性地阻断。标志性事件始于初次支撑（</w:t>
      </w:r>
      <w:r>
        <w:rPr>
          <w:rFonts w:ascii="Google Sans Text;sans-serif" w:hAnsi="Google Sans Text;sans-serif"/>
        </w:rPr>
        <w:t>Preliminary Support, PS</w:t>
      </w:r>
      <w:r>
        <w:rPr>
          <w:rFonts w:eastAsia="Google Sans Text;sans-serif"/>
        </w:rPr>
        <w:t>），此时大资金开始在下跌趋势中尝试性买入，导致成交量放大且价格跌幅收窄。紧接着是恐慌抛售（</w:t>
      </w:r>
      <w:r>
        <w:rPr>
          <w:rFonts w:ascii="Google Sans Text;sans-serif" w:hAnsi="Google Sans Text;sans-serif"/>
        </w:rPr>
        <w:t>Selling Climax, SC</w:t>
      </w:r>
      <w:r>
        <w:rPr>
          <w:rFonts w:eastAsia="Google Sans Text;sans-serif"/>
        </w:rPr>
        <w:t>），散户在极度恐慌中集中割肉，主力资金则在此刻提供巨大的流动性承接，形成放量且往往带有长下影线的极端</w:t>
      </w:r>
      <w:r>
        <w:rPr>
          <w:rFonts w:ascii="Google Sans Text;sans-serif" w:hAnsi="Google Sans Text;sans-serif"/>
        </w:rPr>
        <w:t>K</w:t>
      </w:r>
      <w:r>
        <w:rPr>
          <w:rFonts w:eastAsia="Google Sans Text;sans-serif"/>
        </w:rPr>
        <w:t>线。随后，由于上方供给的阶段性枯竭，价格在需求的自然推动下形成自动反弹（</w:t>
      </w:r>
      <w:r>
        <w:rPr>
          <w:rFonts w:ascii="Google Sans Text;sans-serif" w:hAnsi="Google Sans Text;sans-serif"/>
        </w:rPr>
        <w:t>Automatic Reaction, AR</w:t>
      </w:r>
      <w:r>
        <w:rPr>
          <w:rFonts w:eastAsia="Google Sans Text;sans-serif"/>
        </w:rPr>
        <w:t>），确立了整个震荡区间的阻力位上轨。最后，价格回落进行二次测试（</w:t>
      </w:r>
      <w:r>
        <w:rPr>
          <w:rFonts w:ascii="Google Sans Text;sans-serif" w:hAnsi="Google Sans Text;sans-serif"/>
        </w:rPr>
        <w:t>Secondary Test, ST</w:t>
      </w:r>
      <w:r>
        <w:rPr>
          <w:rFonts w:eastAsia="Google Sans Text;sans-serif"/>
        </w:rPr>
        <w:t>），测试前期</w:t>
      </w:r>
      <w:r>
        <w:rPr>
          <w:rFonts w:ascii="Google Sans Text;sans-serif" w:hAnsi="Google Sans Text;sans-serif"/>
        </w:rPr>
        <w:t>SC</w:t>
      </w:r>
      <w:r>
        <w:rPr>
          <w:rFonts w:eastAsia="Google Sans Text;sans-serif"/>
        </w:rPr>
        <w:t>低点的供给残余情况；若</w:t>
      </w:r>
      <w:r>
        <w:rPr>
          <w:rFonts w:ascii="Google Sans Text;sans-serif" w:hAnsi="Google Sans Text;sans-serif"/>
        </w:rPr>
        <w:t>ST</w:t>
      </w:r>
      <w:r>
        <w:rPr>
          <w:rFonts w:eastAsia="Google Sans Text;sans-serif"/>
        </w:rPr>
        <w:t>在此位置呈现显著缩量，则标志着</w:t>
      </w:r>
      <w:r>
        <w:rPr>
          <w:rFonts w:ascii="Google Sans Text;sans-serif" w:hAnsi="Google Sans Text;sans-serif"/>
        </w:rPr>
        <w:t>A</w:t>
      </w:r>
      <w:r>
        <w:rPr>
          <w:rFonts w:eastAsia="Google Sans Text;sans-serif"/>
        </w:rPr>
        <w:t>阶段的成功筑底。</w:t>
      </w:r>
    </w:p>
    <w:p>
      <w:pPr>
        <w:pStyle w:val="BodyText"/>
        <w:bidi w:val="0"/>
        <w:spacing w:lineRule="auto" w:line="273" w:before="0" w:after="140"/>
        <w:ind w:hanging="0" w:start="0" w:end="0"/>
        <w:jc w:val="start"/>
        <w:rPr/>
      </w:pPr>
      <w:bookmarkStart w:id="7" w:name="p-c_fa058463f8ed15a9_c68acc42-6019-44ef7"/>
      <w:bookmarkEnd w:id="7"/>
      <w:r>
        <w:rPr>
          <w:rFonts w:eastAsia="Google Sans Text;sans-serif"/>
        </w:rPr>
        <w:t>进入</w:t>
      </w:r>
      <w:r>
        <w:rPr>
          <w:rFonts w:ascii="Google Sans Text;sans-serif" w:hAnsi="Google Sans Text;sans-serif"/>
        </w:rPr>
        <w:t>B</w:t>
      </w:r>
      <w:r>
        <w:rPr>
          <w:rFonts w:eastAsia="Google Sans Text;sans-serif"/>
        </w:rPr>
        <w:t>阶段（</w:t>
      </w:r>
      <w:r>
        <w:rPr>
          <w:rFonts w:ascii="Google Sans Text;sans-serif" w:hAnsi="Google Sans Text;sans-serif"/>
        </w:rPr>
        <w:t>Phase B</w:t>
      </w:r>
      <w:r>
        <w:rPr>
          <w:rFonts w:eastAsia="Google Sans Text;sans-serif"/>
        </w:rPr>
        <w:t>），市场迎来漫长的“建构因果”时期。在这一阶段，主力资金在</w:t>
      </w:r>
      <w:r>
        <w:rPr>
          <w:rFonts w:ascii="Google Sans Text;sans-serif" w:hAnsi="Google Sans Text;sans-serif"/>
        </w:rPr>
        <w:t>AR</w:t>
      </w:r>
      <w:r>
        <w:rPr>
          <w:rFonts w:eastAsia="Google Sans Text;sans-serif"/>
        </w:rPr>
        <w:t>与</w:t>
      </w:r>
      <w:r>
        <w:rPr>
          <w:rFonts w:ascii="Google Sans Text;sans-serif" w:hAnsi="Google Sans Text;sans-serif"/>
        </w:rPr>
        <w:t>ST</w:t>
      </w:r>
      <w:r>
        <w:rPr>
          <w:rFonts w:eastAsia="Google Sans Text;sans-serif"/>
        </w:rPr>
        <w:t>确定的边界内进行高抛低吸，不断消耗浮动筹码。价格轨迹在这个阶段表现为无序的宽幅震荡，这是量化趋势跟随策略（</w:t>
      </w:r>
      <w:r>
        <w:rPr>
          <w:rFonts w:ascii="Google Sans Text;sans-serif" w:hAnsi="Google Sans Text;sans-serif"/>
        </w:rPr>
        <w:t>Trend-following</w:t>
      </w:r>
      <w:r>
        <w:rPr>
          <w:rFonts w:eastAsia="Google Sans Text;sans-serif"/>
        </w:rPr>
        <w:t>）面临最大回撤（</w:t>
      </w:r>
      <w:r>
        <w:rPr>
          <w:rFonts w:ascii="Google Sans Text;sans-serif" w:hAnsi="Google Sans Text;sans-serif"/>
        </w:rPr>
        <w:t>Drawdown</w:t>
      </w:r>
      <w:r>
        <w:rPr>
          <w:rFonts w:eastAsia="Google Sans Text;sans-serif"/>
        </w:rPr>
        <w:t>）的区域。然而，对于威科夫量化策略而言，这正是收集数据、计算</w:t>
      </w:r>
      <w:r>
        <w:rPr>
          <w:rFonts w:ascii="Google Sans Text;sans-serif" w:hAnsi="Google Sans Text;sans-serif"/>
        </w:rPr>
        <w:t>P&amp;F</w:t>
      </w:r>
      <w:r>
        <w:rPr>
          <w:rFonts w:eastAsia="Google Sans Text;sans-serif"/>
        </w:rPr>
        <w:t>点数、累积突破能量的黄金视窗。</w:t>
      </w:r>
    </w:p>
    <w:p>
      <w:pPr>
        <w:pStyle w:val="BodyText"/>
        <w:bidi w:val="0"/>
        <w:spacing w:lineRule="auto" w:line="273" w:before="0" w:after="140"/>
        <w:ind w:hanging="0" w:start="0" w:end="0"/>
        <w:jc w:val="start"/>
        <w:rPr/>
      </w:pPr>
      <w:bookmarkStart w:id="8" w:name="p-c_fa058463f8ed15a9_c68acc42-6019-44ef8"/>
      <w:bookmarkEnd w:id="8"/>
      <w:r>
        <w:rPr>
          <w:rFonts w:ascii="Google Sans Text;sans-serif" w:hAnsi="Google Sans Text;sans-serif"/>
        </w:rPr>
        <w:t>C</w:t>
      </w:r>
      <w:r>
        <w:rPr>
          <w:rFonts w:eastAsia="Google Sans Text;sans-serif"/>
        </w:rPr>
        <w:t>阶段（</w:t>
      </w:r>
      <w:r>
        <w:rPr>
          <w:rFonts w:ascii="Google Sans Text;sans-serif" w:hAnsi="Google Sans Text;sans-serif"/>
        </w:rPr>
        <w:t>Phase C</w:t>
      </w:r>
      <w:r>
        <w:rPr>
          <w:rFonts w:eastAsia="Google Sans Text;sans-serif"/>
        </w:rPr>
        <w:t>）是整个威科夫分析的皇冠明珠，也是绝佳的非对称交易切入点。主力在此阶段进行最后一次对供给或需求的终极测试，最典型的形态即为弹簧效应（</w:t>
      </w:r>
      <w:r>
        <w:rPr>
          <w:rFonts w:ascii="Google Sans Text;sans-serif" w:hAnsi="Google Sans Text;sans-serif"/>
        </w:rPr>
        <w:t>Spring</w:t>
      </w:r>
      <w:r>
        <w:rPr>
          <w:rFonts w:eastAsia="Google Sans Text;sans-serif"/>
        </w:rPr>
        <w:t>）或震仓（</w:t>
      </w:r>
      <w:r>
        <w:rPr>
          <w:rFonts w:ascii="Google Sans Text;sans-serif" w:hAnsi="Google Sans Text;sans-serif"/>
        </w:rPr>
        <w:t>Shakeout</w:t>
      </w:r>
      <w:r>
        <w:rPr>
          <w:rFonts w:eastAsia="Google Sans Text;sans-serif"/>
        </w:rPr>
        <w:t>）。价格短暂向下击穿</w:t>
      </w:r>
      <w:r>
        <w:rPr>
          <w:rFonts w:ascii="Google Sans Text;sans-serif" w:hAnsi="Google Sans Text;sans-serif"/>
        </w:rPr>
        <w:t>A</w:t>
      </w:r>
      <w:r>
        <w:rPr>
          <w:rFonts w:eastAsia="Google Sans Text;sans-serif"/>
        </w:rPr>
        <w:t>阶段和</w:t>
      </w:r>
      <w:r>
        <w:rPr>
          <w:rFonts w:ascii="Google Sans Text;sans-serif" w:hAnsi="Google Sans Text;sans-serif"/>
        </w:rPr>
        <w:t>B</w:t>
      </w:r>
      <w:r>
        <w:rPr>
          <w:rFonts w:eastAsia="Google Sans Text;sans-serif"/>
        </w:rPr>
        <w:t>阶段构建的所有支撑位，引发技术派止损与突破做空者的跟风，随后在缺乏后续供给（</w:t>
      </w:r>
      <w:r>
        <w:rPr>
          <w:rFonts w:ascii="Google Sans Text;sans-serif" w:hAnsi="Google Sans Text;sans-serif"/>
        </w:rPr>
        <w:t>Lack of follow-through</w:t>
      </w:r>
      <w:r>
        <w:rPr>
          <w:rFonts w:eastAsia="Google Sans Text;sans-serif"/>
        </w:rPr>
        <w:t>）的情况下，迅速反转收复支撑位。这种“假突破”在</w:t>
      </w:r>
      <w:r>
        <w:rPr>
          <w:rFonts w:ascii="Google Sans Text;sans-serif" w:hAnsi="Google Sans Text;sans-serif"/>
        </w:rPr>
        <w:t>Python</w:t>
      </w:r>
      <w:r>
        <w:rPr>
          <w:rFonts w:eastAsia="Google Sans Text;sans-serif"/>
        </w:rPr>
        <w:t>架构中具有极强的可量化特征。</w:t>
      </w:r>
    </w:p>
    <w:p>
      <w:pPr>
        <w:pStyle w:val="BodyText"/>
        <w:bidi w:val="0"/>
        <w:spacing w:lineRule="auto" w:line="273" w:before="0" w:after="140"/>
        <w:ind w:hanging="0" w:start="0" w:end="0"/>
        <w:jc w:val="start"/>
        <w:rPr/>
      </w:pPr>
      <w:bookmarkStart w:id="9" w:name="p-c_fa058463f8ed15a9_c68acc42-6019-44ef9"/>
      <w:bookmarkEnd w:id="9"/>
      <w:r>
        <w:rPr>
          <w:rFonts w:ascii="Google Sans Text;sans-serif" w:hAnsi="Google Sans Text;sans-serif"/>
        </w:rPr>
        <w:t>D</w:t>
      </w:r>
      <w:r>
        <w:rPr>
          <w:rFonts w:eastAsia="Google Sans Text;sans-serif"/>
        </w:rPr>
        <w:t>阶段（</w:t>
      </w:r>
      <w:r>
        <w:rPr>
          <w:rFonts w:ascii="Google Sans Text;sans-serif" w:hAnsi="Google Sans Text;sans-serif"/>
        </w:rPr>
        <w:t>Phase D</w:t>
      </w:r>
      <w:r>
        <w:rPr>
          <w:rFonts w:eastAsia="Google Sans Text;sans-serif"/>
        </w:rPr>
        <w:t>）标志着趋势控制权正式向需求方转移。价格开始在区间内展现出强势的震荡上行（</w:t>
      </w:r>
      <w:r>
        <w:rPr>
          <w:rFonts w:ascii="Google Sans Text;sans-serif" w:hAnsi="Google Sans Text;sans-serif"/>
        </w:rPr>
        <w:t>Sign of Strength, SOS</w:t>
      </w:r>
      <w:r>
        <w:rPr>
          <w:rFonts w:eastAsia="Google Sans Text;sans-serif"/>
        </w:rPr>
        <w:t>），回调时的低点不断抬高，形成最后的供给点（</w:t>
      </w:r>
      <w:r>
        <w:rPr>
          <w:rFonts w:ascii="Google Sans Text;sans-serif" w:hAnsi="Google Sans Text;sans-serif"/>
        </w:rPr>
        <w:t>Last Point of Support, LPS</w:t>
      </w:r>
      <w:r>
        <w:rPr>
          <w:rFonts w:eastAsia="Google Sans Text;sans-serif"/>
        </w:rPr>
        <w:t>），并最终带量突破（</w:t>
      </w:r>
      <w:r>
        <w:rPr>
          <w:rFonts w:ascii="Google Sans Text;sans-serif" w:hAnsi="Google Sans Text;sans-serif"/>
        </w:rPr>
        <w:t>Jump Across the Creek, JAC</w:t>
      </w:r>
      <w:r>
        <w:rPr>
          <w:rFonts w:eastAsia="Google Sans Text;sans-serif"/>
        </w:rPr>
        <w:t>）区间上轨。最后，市场进入</w:t>
      </w:r>
      <w:r>
        <w:rPr>
          <w:rFonts w:ascii="Google Sans Text;sans-serif" w:hAnsi="Google Sans Text;sans-serif"/>
        </w:rPr>
        <w:t>E</w:t>
      </w:r>
      <w:r>
        <w:rPr>
          <w:rFonts w:eastAsia="Google Sans Text;sans-serif"/>
        </w:rPr>
        <w:t>阶段（</w:t>
      </w:r>
      <w:r>
        <w:rPr>
          <w:rFonts w:ascii="Google Sans Text;sans-serif" w:hAnsi="Google Sans Text;sans-serif"/>
        </w:rPr>
        <w:t>Phase E</w:t>
      </w:r>
      <w:r>
        <w:rPr>
          <w:rFonts w:eastAsia="Google Sans Text;sans-serif"/>
        </w:rPr>
        <w:t>），即彻底脱离震荡区间的单边上升趋势，此时均线等多头排列指标开始全面共振响应。</w:t>
      </w:r>
    </w:p>
    <w:p>
      <w:pPr>
        <w:pStyle w:val="Heading2"/>
        <w:bidi w:val="0"/>
        <w:spacing w:lineRule="auto" w:line="273" w:before="0" w:after="140"/>
        <w:ind w:hanging="0" w:start="0" w:end="0"/>
        <w:jc w:val="start"/>
        <w:rPr/>
      </w:pPr>
      <w:r>
        <w:rPr>
          <w:rFonts w:eastAsia="Google Sans;sans-serif"/>
        </w:rPr>
        <w:t>高性能本地数据架构与防前视偏差（</w:t>
      </w:r>
      <w:r>
        <w:rPr>
          <w:rFonts w:ascii="Google Sans;sans-serif" w:hAnsi="Google Sans;sans-serif"/>
        </w:rPr>
        <w:t>Look-ahead Bias</w:t>
      </w:r>
      <w:r>
        <w:rPr>
          <w:rFonts w:eastAsia="Google Sans;sans-serif"/>
        </w:rPr>
        <w:t>）的多周期合成引擎</w:t>
      </w:r>
    </w:p>
    <w:p>
      <w:pPr>
        <w:pStyle w:val="BodyText"/>
        <w:bidi w:val="0"/>
        <w:spacing w:lineRule="auto" w:line="273" w:before="0" w:after="140"/>
        <w:ind w:hanging="0" w:start="0" w:end="0"/>
        <w:jc w:val="start"/>
        <w:rPr/>
      </w:pPr>
      <w:bookmarkStart w:id="10" w:name="p-c_fa058463f8ed15a9_c68acc42-6019-44efa"/>
      <w:bookmarkEnd w:id="10"/>
      <w:r>
        <w:rPr>
          <w:rFonts w:eastAsia="Google Sans Text;sans-serif"/>
        </w:rPr>
        <w:t>在深度的量化金融工程中，策略的理论逻辑再完美，如果底层数据架构存在瑕疵，最终的实盘结果必然是灾难性的。在威科夫方法中，多周期分析（</w:t>
      </w:r>
      <w:r>
        <w:rPr>
          <w:rFonts w:ascii="Google Sans Text;sans-serif" w:hAnsi="Google Sans Text;sans-serif"/>
        </w:rPr>
        <w:t>Multi-timeframe Analysis</w:t>
      </w:r>
      <w:r>
        <w:rPr>
          <w:rFonts w:eastAsia="Google Sans Text;sans-serif"/>
        </w:rPr>
        <w:t>）是过滤噪音、确认趋势背景的核心手段。交易者被教导要在月线或周线上观察宏观的积累与派发，在日线上寻找</w:t>
      </w:r>
      <w:r>
        <w:rPr>
          <w:rFonts w:ascii="Google Sans Text;sans-serif" w:hAnsi="Google Sans Text;sans-serif"/>
        </w:rPr>
        <w:t>C</w:t>
      </w:r>
      <w:r>
        <w:rPr>
          <w:rFonts w:eastAsia="Google Sans Text;sans-serif"/>
        </w:rPr>
        <w:t>阶段的精确入场点。为了在</w:t>
      </w:r>
      <w:r>
        <w:rPr>
          <w:rFonts w:ascii="Google Sans Text;sans-serif" w:hAnsi="Google Sans Text;sans-serif"/>
        </w:rPr>
        <w:t>Python</w:t>
      </w:r>
      <w:r>
        <w:rPr>
          <w:rFonts w:eastAsia="Google Sans Text;sans-serif"/>
        </w:rPr>
        <w:t>中实现这一宏大构想，必须解决本地</w:t>
      </w:r>
      <w:r>
        <w:rPr>
          <w:rFonts w:ascii="Google Sans Text;sans-serif" w:hAnsi="Google Sans Text;sans-serif"/>
        </w:rPr>
        <w:t>A</w:t>
      </w:r>
      <w:r>
        <w:rPr>
          <w:rFonts w:eastAsia="Google Sans Text;sans-serif"/>
        </w:rPr>
        <w:t>股日线数据（</w:t>
      </w:r>
      <w:r>
        <w:rPr>
          <w:rFonts w:ascii="Google Sans Text;sans-serif" w:hAnsi="Google Sans Text;sans-serif"/>
        </w:rPr>
        <w:t>OHLCV</w:t>
      </w:r>
      <w:r>
        <w:rPr>
          <w:rFonts w:eastAsia="Google Sans Text;sans-serif"/>
        </w:rPr>
        <w:t>）向周线和月线合成时的严格因果性约束。</w:t>
      </w:r>
    </w:p>
    <w:p>
      <w:pPr>
        <w:pStyle w:val="BodyText"/>
        <w:bidi w:val="0"/>
        <w:spacing w:lineRule="auto" w:line="273" w:before="0" w:after="140"/>
        <w:ind w:hanging="0" w:start="0" w:end="0"/>
        <w:jc w:val="start"/>
        <w:rPr/>
      </w:pPr>
      <w:bookmarkStart w:id="11" w:name="p-c_fa058463f8ed15a9_c68acc42-6019-44efb"/>
      <w:bookmarkEnd w:id="11"/>
      <w:r>
        <w:rPr>
          <w:rFonts w:eastAsia="Google Sans Text;sans-serif"/>
        </w:rPr>
        <w:t>在应用</w:t>
      </w:r>
      <w:r>
        <w:rPr>
          <w:rFonts w:ascii="Google Sans Text;sans-serif" w:hAnsi="Google Sans Text;sans-serif"/>
        </w:rPr>
        <w:t>Python</w:t>
      </w:r>
      <w:r>
        <w:rPr>
          <w:rFonts w:eastAsia="Google Sans Text;sans-serif"/>
        </w:rPr>
        <w:t>的数据分析核心库</w:t>
      </w:r>
      <w:r>
        <w:rPr>
          <w:rFonts w:ascii="Google Sans Text;sans-serif" w:hAnsi="Google Sans Text;sans-serif"/>
        </w:rPr>
        <w:t>Pandas</w:t>
      </w:r>
      <w:r>
        <w:rPr>
          <w:rFonts w:eastAsia="Google Sans Text;sans-serif"/>
        </w:rPr>
        <w:t>进行时间序列重采样（</w:t>
      </w:r>
      <w:r>
        <w:rPr>
          <w:rFonts w:ascii="Google Sans Text;sans-serif" w:hAnsi="Google Sans Text;sans-serif"/>
        </w:rPr>
        <w:t>Resampling</w:t>
      </w:r>
      <w:r>
        <w:rPr>
          <w:rFonts w:eastAsia="Google Sans Text;sans-serif"/>
        </w:rPr>
        <w:t>）时，量化研究员极易落入“前视偏差”（</w:t>
      </w:r>
      <w:r>
        <w:rPr>
          <w:rFonts w:ascii="Google Sans Text;sans-serif" w:hAnsi="Google Sans Text;sans-serif"/>
        </w:rPr>
        <w:t xml:space="preserve">Look-ahead Bias </w:t>
      </w:r>
      <w:r>
        <w:rPr>
          <w:rFonts w:eastAsia="Google Sans Text;sans-serif"/>
        </w:rPr>
        <w:t xml:space="preserve">或 </w:t>
      </w:r>
      <w:r>
        <w:rPr>
          <w:rFonts w:ascii="Google Sans Text;sans-serif" w:hAnsi="Google Sans Text;sans-serif"/>
        </w:rPr>
        <w:t>Future Leak</w:t>
      </w:r>
      <w:r>
        <w:rPr>
          <w:rFonts w:eastAsia="Google Sans Text;sans-serif"/>
        </w:rPr>
        <w:t xml:space="preserve">）的工程陷阱。信息泄露通常发生在将低频时间片映射为高频时间片的操作中。例如，若系统在周三盘后运行，试图计算当周的周线状态，如果直接使用带有默认参数的 </w:t>
      </w:r>
      <w:r>
        <w:rPr>
          <w:rStyle w:val="Style12"/>
          <w:rFonts w:ascii="Google Sans Text;sans-serif" w:hAnsi="Google Sans Text;sans-serif"/>
        </w:rPr>
        <w:t>df.resample('W').agg(...)</w:t>
      </w:r>
      <w:r>
        <w:rPr>
          <w:rFonts w:ascii="Google Sans Text;sans-serif" w:hAnsi="Google Sans Text;sans-serif"/>
        </w:rPr>
        <w:t xml:space="preserve"> </w:t>
      </w:r>
      <w:r>
        <w:rPr>
          <w:rFonts w:eastAsia="Google Sans Text;sans-serif"/>
        </w:rPr>
        <w:t>方法，底层的聚合逻辑可能会因为边界处理不当，将当周内未发生的交易日（周四、周五）的占位符或插值数据纳入计算，甚至在计算滚动均值时“窥探”了未来的收盘价。这种偏差会导致模型在回测时产生不切实际的超高胜率，因为模型本质上利用了尚未发生的未来信息进行了当前的买卖决策。</w:t>
      </w:r>
    </w:p>
    <w:p>
      <w:pPr>
        <w:pStyle w:val="BodyText"/>
        <w:bidi w:val="0"/>
        <w:spacing w:lineRule="auto" w:line="273" w:before="0" w:after="140"/>
        <w:ind w:hanging="0" w:start="0" w:end="0"/>
        <w:jc w:val="start"/>
        <w:rPr/>
      </w:pPr>
      <w:r>
        <w:rPr>
          <w:rFonts w:eastAsia="Google Sans Text;sans-serif"/>
        </w:rPr>
        <w:t>为了彻底阻断前视偏差的发生，架构层面必须建立极其严苛的时间切片视图（</w:t>
      </w:r>
      <w:r>
        <w:rPr>
          <w:rFonts w:ascii="Google Sans Text;sans-serif" w:hAnsi="Google Sans Text;sans-serif"/>
        </w:rPr>
        <w:t>Time-slice View</w:t>
      </w:r>
      <w:r>
        <w:rPr>
          <w:rFonts w:eastAsia="Google Sans Text;sans-serif"/>
        </w:rPr>
        <w:t xml:space="preserve">）。合成算法必须保证在任何历史回放的时刻 </w:t>
      </w:r>
      <w:r>
        <w:rPr>
          <w:rFonts w:ascii="Google Sans Text;sans-serif" w:hAnsi="Google Sans Text;sans-serif"/>
        </w:rPr>
        <w:t>$t$</w:t>
      </w:r>
      <w:r>
        <w:rPr>
          <w:rFonts w:eastAsia="Google Sans Text;sans-serif"/>
        </w:rPr>
        <w:t xml:space="preserve">，系统所计算的周线特征 </w:t>
      </w:r>
      <w:r>
        <w:rPr>
          <w:rFonts w:ascii="Google Sans Text;sans-serif" w:hAnsi="Google Sans Text;sans-serif"/>
        </w:rPr>
        <w:t xml:space="preserve">$W_t$ </w:t>
      </w:r>
      <w:r>
        <w:rPr>
          <w:rFonts w:eastAsia="Google Sans Text;sans-serif"/>
        </w:rPr>
        <w:t xml:space="preserve">或月线特征 </w:t>
      </w:r>
      <w:r>
        <w:rPr>
          <w:rFonts w:ascii="Google Sans Text;sans-serif" w:hAnsi="Google Sans Text;sans-serif"/>
        </w:rPr>
        <w:t>$M_t$</w:t>
      </w:r>
      <w:r>
        <w:rPr>
          <w:rFonts w:eastAsia="Google Sans Text;sans-serif"/>
        </w:rPr>
        <w:t xml:space="preserve">，绝对仅依赖于 </w:t>
      </w:r>
      <w:r>
        <w:rPr>
          <w:rFonts w:ascii="Google Sans Text;sans-serif" w:hAnsi="Google Sans Text;sans-serif"/>
        </w:rPr>
        <w:t xml:space="preserve">$\tau \le t$ </w:t>
      </w:r>
      <w:r>
        <w:rPr>
          <w:rFonts w:eastAsia="Google Sans Text;sans-serif"/>
        </w:rPr>
        <w:t>的历史日线切片集合。</w:t>
      </w:r>
    </w:p>
    <w:p>
      <w:pPr>
        <w:pStyle w:val="BodyText"/>
        <w:bidi w:val="0"/>
        <w:spacing w:lineRule="auto" w:line="273" w:before="0" w:after="140"/>
        <w:ind w:hanging="0" w:start="0" w:end="0"/>
        <w:jc w:val="start"/>
        <w:rPr/>
      </w:pPr>
      <w:r>
        <w:rPr>
          <w:rFonts w:eastAsia="Google Sans Text;sans-serif"/>
        </w:rPr>
        <w:t>在</w:t>
      </w:r>
      <w:r>
        <w:rPr>
          <w:rFonts w:ascii="Google Sans Text;sans-serif" w:hAnsi="Google Sans Text;sans-serif"/>
        </w:rPr>
        <w:t>Python</w:t>
      </w:r>
      <w:r>
        <w:rPr>
          <w:rFonts w:eastAsia="Google Sans Text;sans-serif"/>
        </w:rPr>
        <w:t>中，安全且防泄露的多周期</w:t>
      </w:r>
      <w:r>
        <w:rPr>
          <w:rFonts w:ascii="Google Sans Text;sans-serif" w:hAnsi="Google Sans Text;sans-serif"/>
        </w:rPr>
        <w:t>OHLCV</w:t>
      </w:r>
      <w:r>
        <w:rPr>
          <w:rFonts w:eastAsia="Google Sans Text;sans-serif"/>
        </w:rPr>
        <w:t xml:space="preserve">合成方案依赖于对 </w:t>
      </w:r>
      <w:r>
        <w:rPr>
          <w:rStyle w:val="Style12"/>
          <w:rFonts w:ascii="Google Sans Text;sans-serif" w:hAnsi="Google Sans Text;sans-serif"/>
        </w:rPr>
        <w:t>groupby</w:t>
      </w:r>
      <w:r>
        <w:rPr>
          <w:rFonts w:ascii="Google Sans Text;sans-serif" w:hAnsi="Google Sans Text;sans-serif"/>
        </w:rPr>
        <w:t xml:space="preserve"> </w:t>
      </w:r>
      <w:r>
        <w:rPr>
          <w:rFonts w:eastAsia="Google Sans Text;sans-serif"/>
        </w:rPr>
        <w:t xml:space="preserve">或 </w:t>
      </w:r>
      <w:r>
        <w:rPr>
          <w:rStyle w:val="Style12"/>
          <w:rFonts w:ascii="Google Sans Text;sans-serif" w:hAnsi="Google Sans Text;sans-serif"/>
        </w:rPr>
        <w:t>resample</w:t>
      </w:r>
      <w:r>
        <w:rPr>
          <w:rFonts w:ascii="Google Sans Text;sans-serif" w:hAnsi="Google Sans Text;sans-serif"/>
        </w:rPr>
        <w:t xml:space="preserve"> </w:t>
      </w:r>
      <w:r>
        <w:rPr>
          <w:rFonts w:eastAsia="Google Sans Text;sans-serif"/>
        </w:rPr>
        <w:t>边界的精确控制。以下为标准化的架构级实现路径：</w:t>
      </w:r>
    </w:p>
    <w:p>
      <w:pPr>
        <w:pStyle w:val="BodyText"/>
        <w:numPr>
          <w:ilvl w:val="0"/>
          <w:numId w:val="1"/>
        </w:numPr>
        <w:pBdr/>
        <w:tabs>
          <w:tab w:val="clear" w:pos="420"/>
          <w:tab w:val="left" w:pos="709" w:leader="none"/>
        </w:tabs>
        <w:bidi w:val="0"/>
        <w:spacing w:lineRule="auto" w:line="273" w:before="0" w:after="140"/>
        <w:ind w:hanging="283" w:start="709" w:end="0"/>
        <w:jc w:val="start"/>
        <w:rPr/>
      </w:pPr>
      <w:r>
        <w:rPr>
          <w:rFonts w:eastAsia="Google Sans Text;sans-serif"/>
          <w:b/>
        </w:rPr>
        <w:t>右侧闭合与标签对其</w:t>
      </w:r>
      <w:r>
        <w:rPr>
          <w:rFonts w:eastAsia="Google Sans Text;sans-serif"/>
        </w:rPr>
        <w:t xml:space="preserve">：在调用 </w:t>
      </w:r>
      <w:r>
        <w:rPr>
          <w:rStyle w:val="Style12"/>
          <w:rFonts w:ascii="Google Sans Text;sans-serif" w:hAnsi="Google Sans Text;sans-serif"/>
        </w:rPr>
        <w:t>resample</w:t>
      </w:r>
      <w:r>
        <w:rPr>
          <w:rFonts w:ascii="Google Sans Text;sans-serif" w:hAnsi="Google Sans Text;sans-serif"/>
        </w:rPr>
        <w:t xml:space="preserve"> </w:t>
      </w:r>
      <w:r>
        <w:rPr>
          <w:rFonts w:eastAsia="Google Sans Text;sans-serif"/>
        </w:rPr>
        <w:t xml:space="preserve">或滚动窗口时，必须明确设定 </w:t>
      </w:r>
      <w:r>
        <w:rPr>
          <w:rStyle w:val="Style12"/>
          <w:rFonts w:ascii="Google Sans Text;sans-serif" w:hAnsi="Google Sans Text;sans-serif"/>
        </w:rPr>
        <w:t>closed='right'</w:t>
      </w:r>
      <w:r>
        <w:rPr>
          <w:rFonts w:ascii="Google Sans Text;sans-serif" w:hAnsi="Google Sans Text;sans-serif"/>
        </w:rPr>
        <w:t xml:space="preserve"> </w:t>
      </w:r>
      <w:r>
        <w:rPr>
          <w:rFonts w:eastAsia="Google Sans Text;sans-serif"/>
        </w:rPr>
        <w:t xml:space="preserve">和 </w:t>
      </w:r>
      <w:r>
        <w:rPr>
          <w:rStyle w:val="Style12"/>
          <w:rFonts w:ascii="Google Sans Text;sans-serif" w:hAnsi="Google Sans Text;sans-serif"/>
        </w:rPr>
        <w:t>label='right'</w:t>
      </w:r>
      <w:r>
        <w:rPr>
          <w:rFonts w:eastAsia="Google Sans Text;sans-serif"/>
        </w:rPr>
        <w:t>。对于金融时间序列，我们只关心在一个完整的统计周期结束时的确切状态，或者在当前不完整周期内已产生的确定性切片。</w:t>
      </w:r>
    </w:p>
    <w:p>
      <w:pPr>
        <w:pStyle w:val="BodyText"/>
        <w:numPr>
          <w:ilvl w:val="0"/>
          <w:numId w:val="1"/>
        </w:numPr>
        <w:pBdr/>
        <w:tabs>
          <w:tab w:val="clear" w:pos="420"/>
          <w:tab w:val="left" w:pos="709" w:leader="none"/>
        </w:tabs>
        <w:bidi w:val="0"/>
        <w:spacing w:lineRule="auto" w:line="273" w:before="0" w:after="140"/>
        <w:ind w:hanging="283" w:start="709" w:end="0"/>
        <w:jc w:val="start"/>
        <w:rPr/>
      </w:pPr>
      <w:bookmarkStart w:id="12" w:name="p-c_fa058463f8ed15a9_c68acc42-6019-44efc"/>
      <w:bookmarkEnd w:id="12"/>
      <w:r>
        <w:rPr>
          <w:rFonts w:eastAsia="Google Sans Text;sans-serif"/>
          <w:b/>
        </w:rPr>
        <w:t>不完整周期的动态截断</w:t>
      </w:r>
      <w:r>
        <w:rPr>
          <w:rFonts w:eastAsia="Google Sans Text;sans-serif"/>
        </w:rPr>
        <w:t>：在实盘或模拟实盘的按日步进（</w:t>
      </w:r>
      <w:r>
        <w:rPr>
          <w:rFonts w:ascii="Google Sans Text;sans-serif" w:hAnsi="Google Sans Text;sans-serif"/>
        </w:rPr>
        <w:t>Step-by-step</w:t>
      </w:r>
      <w:r>
        <w:rPr>
          <w:rFonts w:eastAsia="Google Sans Text;sans-serif"/>
        </w:rPr>
        <w:t xml:space="preserve">）引擎中，当天的周线实际上是一个由周一至当天的日线累加构成的“动态未定态周线”。因此，算法在 </w:t>
      </w:r>
      <w:r>
        <w:rPr>
          <w:rFonts w:ascii="Google Sans Text;sans-serif" w:hAnsi="Google Sans Text;sans-serif"/>
        </w:rPr>
        <w:t xml:space="preserve">$t$ </w:t>
      </w:r>
      <w:r>
        <w:rPr>
          <w:rFonts w:eastAsia="Google Sans Text;sans-serif"/>
        </w:rPr>
        <w:t xml:space="preserve">日不能使用预先生成的全局周线序列进行简单的 </w:t>
      </w:r>
      <w:r>
        <w:rPr>
          <w:rStyle w:val="Style12"/>
          <w:rFonts w:ascii="Google Sans Text;sans-serif" w:hAnsi="Google Sans Text;sans-serif"/>
        </w:rPr>
        <w:t>merge</w:t>
      </w:r>
      <w:r>
        <w:rPr>
          <w:rFonts w:eastAsia="Google Sans Text;sans-serif"/>
        </w:rPr>
        <w:t xml:space="preserve">，而应当使用实时流式计算：截取从本周第一天到 </w:t>
      </w:r>
      <w:r>
        <w:rPr>
          <w:rFonts w:ascii="Google Sans Text;sans-serif" w:hAnsi="Google Sans Text;sans-serif"/>
        </w:rPr>
        <w:t xml:space="preserve">$t$ </w:t>
      </w:r>
      <w:r>
        <w:rPr>
          <w:rFonts w:eastAsia="Google Sans Text;sans-serif"/>
        </w:rPr>
        <w:t xml:space="preserve">日的数据，动态聚合出 </w:t>
      </w:r>
      <w:r>
        <w:rPr>
          <w:rFonts w:ascii="Google Sans Text;sans-serif" w:hAnsi="Google Sans Text;sans-serif"/>
        </w:rPr>
        <w:t xml:space="preserve">$t$ </w:t>
      </w:r>
      <w:r>
        <w:rPr>
          <w:rFonts w:eastAsia="Google Sans Text;sans-serif"/>
        </w:rPr>
        <w:t>日视角的</w:t>
      </w:r>
      <w:r>
        <w:rPr>
          <w:rFonts w:ascii="Google Sans Text;sans-serif" w:hAnsi="Google Sans Text;sans-serif"/>
        </w:rPr>
        <w:t>Open</w:t>
      </w:r>
      <w:r>
        <w:rPr>
          <w:rFonts w:eastAsia="Google Sans Text;sans-serif"/>
        </w:rPr>
        <w:t>（本周第一日开盘）、</w:t>
      </w:r>
      <w:r>
        <w:rPr>
          <w:rFonts w:ascii="Google Sans Text;sans-serif" w:hAnsi="Google Sans Text;sans-serif"/>
        </w:rPr>
        <w:t>High</w:t>
      </w:r>
      <w:r>
        <w:rPr>
          <w:rFonts w:eastAsia="Google Sans Text;sans-serif"/>
        </w:rPr>
        <w:t>（本周内最高）、</w:t>
      </w:r>
      <w:r>
        <w:rPr>
          <w:rFonts w:ascii="Google Sans Text;sans-serif" w:hAnsi="Google Sans Text;sans-serif"/>
        </w:rPr>
        <w:t>Low</w:t>
      </w:r>
      <w:r>
        <w:rPr>
          <w:rFonts w:eastAsia="Google Sans Text;sans-serif"/>
        </w:rPr>
        <w:t>（本周内最低）、</w:t>
      </w:r>
      <w:r>
        <w:rPr>
          <w:rFonts w:ascii="Google Sans Text;sans-serif" w:hAnsi="Google Sans Text;sans-serif"/>
        </w:rPr>
        <w:t>Close</w:t>
      </w:r>
      <w:r>
        <w:rPr>
          <w:rFonts w:eastAsia="Google Sans Text;sans-serif"/>
        </w:rPr>
        <w:t>（</w:t>
      </w:r>
      <w:r>
        <w:rPr>
          <w:rFonts w:ascii="Google Sans Text;sans-serif" w:hAnsi="Google Sans Text;sans-serif"/>
        </w:rPr>
        <w:t>$t$</w:t>
      </w:r>
      <w:r>
        <w:rPr>
          <w:rFonts w:eastAsia="Google Sans Text;sans-serif"/>
        </w:rPr>
        <w:t>日收盘）和</w:t>
      </w:r>
      <w:r>
        <w:rPr>
          <w:rFonts w:ascii="Google Sans Text;sans-serif" w:hAnsi="Google Sans Text;sans-serif"/>
        </w:rPr>
        <w:t>Volume</w:t>
      </w:r>
      <w:r>
        <w:rPr>
          <w:rFonts w:eastAsia="Google Sans Text;sans-serif"/>
        </w:rPr>
        <w:t>（本周累计成交量）。</w:t>
      </w:r>
    </w:p>
    <w:p>
      <w:pPr>
        <w:pStyle w:val="BodyText"/>
        <w:numPr>
          <w:ilvl w:val="0"/>
          <w:numId w:val="1"/>
        </w:numPr>
        <w:pBdr/>
        <w:tabs>
          <w:tab w:val="clear" w:pos="420"/>
          <w:tab w:val="left" w:pos="709" w:leader="none"/>
        </w:tabs>
        <w:bidi w:val="0"/>
        <w:spacing w:lineRule="auto" w:line="273" w:before="0" w:after="140"/>
        <w:ind w:hanging="283" w:start="709" w:end="0"/>
        <w:jc w:val="start"/>
        <w:rPr/>
      </w:pPr>
      <w:bookmarkStart w:id="13" w:name="p-c_fa058463f8ed15a9_c68acc42-6019-44efd"/>
      <w:bookmarkEnd w:id="13"/>
      <w:r>
        <w:rPr>
          <w:rFonts w:eastAsia="Google Sans Text;sans-serif"/>
          <w:b/>
        </w:rPr>
        <w:t>缺失值填充的严格禁忌</w:t>
      </w:r>
      <w:r>
        <w:rPr>
          <w:rFonts w:eastAsia="Google Sans Text;sans-serif"/>
        </w:rPr>
        <w:t>：</w:t>
      </w:r>
      <w:r>
        <w:rPr>
          <w:rFonts w:ascii="Google Sans Text;sans-serif" w:hAnsi="Google Sans Text;sans-serif"/>
        </w:rPr>
        <w:t>A</w:t>
      </w:r>
      <w:r>
        <w:rPr>
          <w:rFonts w:eastAsia="Google Sans Text;sans-serif"/>
        </w:rPr>
        <w:t>股市场存在频繁的停牌现象，导致部分标的日线数据出现缺失（</w:t>
      </w:r>
      <w:r>
        <w:rPr>
          <w:rFonts w:ascii="Google Sans Text;sans-serif" w:hAnsi="Google Sans Text;sans-serif"/>
        </w:rPr>
        <w:t>NaN</w:t>
      </w:r>
      <w:r>
        <w:rPr>
          <w:rFonts w:eastAsia="Google Sans Text;sans-serif"/>
        </w:rPr>
        <w:t>）。在进行多周期重采样并对齐到统一的时间轴时，必须极其谨慎地处理缺失值。绝对禁止使用后向填充（</w:t>
      </w:r>
      <w:r>
        <w:rPr>
          <w:rFonts w:ascii="Google Sans Text;sans-serif" w:hAnsi="Google Sans Text;sans-serif"/>
        </w:rPr>
        <w:t xml:space="preserve">Backward Fill, </w:t>
      </w:r>
      <w:r>
        <w:rPr>
          <w:rStyle w:val="Style12"/>
          <w:rFonts w:ascii="Google Sans Text;sans-serif" w:hAnsi="Google Sans Text;sans-serif"/>
        </w:rPr>
        <w:t>bfill</w:t>
      </w:r>
      <w:r>
        <w:rPr>
          <w:rFonts w:eastAsia="Google Sans Text;sans-serif"/>
        </w:rPr>
        <w:t>），因为后向填充是将复牌后的未来价格信息提前注入到了停牌期的特征中，这是最严重的前视泄露。前向填充（</w:t>
      </w:r>
      <w:r>
        <w:rPr>
          <w:rFonts w:ascii="Google Sans Text;sans-serif" w:hAnsi="Google Sans Text;sans-serif"/>
        </w:rPr>
        <w:t xml:space="preserve">Forward Fill, </w:t>
      </w:r>
      <w:r>
        <w:rPr>
          <w:rStyle w:val="Style12"/>
          <w:rFonts w:ascii="Google Sans Text;sans-serif" w:hAnsi="Google Sans Text;sans-serif"/>
        </w:rPr>
        <w:t>ffill</w:t>
      </w:r>
      <w:r>
        <w:rPr>
          <w:rFonts w:eastAsia="Google Sans Text;sans-serif"/>
        </w:rPr>
        <w:t>）虽然不会引入未来信息，但在处理</w:t>
      </w:r>
      <w:r>
        <w:rPr>
          <w:rFonts w:ascii="Google Sans Text;sans-serif" w:hAnsi="Google Sans Text;sans-serif"/>
        </w:rPr>
        <w:t>OHLC</w:t>
      </w:r>
      <w:r>
        <w:rPr>
          <w:rFonts w:eastAsia="Google Sans Text;sans-serif"/>
        </w:rPr>
        <w:t>结构时需要特定逻辑：停牌日的开、高、低、收均应等于停牌前最后一个交易日的收盘价，而成交量必须强制设为零（</w:t>
      </w:r>
      <w:r>
        <w:rPr>
          <w:rFonts w:ascii="Google Sans Text;sans-serif" w:hAnsi="Google Sans Text;sans-serif"/>
        </w:rPr>
        <w:t>0</w:t>
      </w:r>
      <w:r>
        <w:rPr>
          <w:rFonts w:eastAsia="Google Sans Text;sans-serif"/>
        </w:rPr>
        <w:t xml:space="preserve">），以确保“努力与结果法则”的评估不会被虚假的量能误导。此外，前向填充应当设置最大时间界限（如 </w:t>
      </w:r>
      <w:r>
        <w:rPr>
          <w:rStyle w:val="Style12"/>
          <w:rFonts w:ascii="Google Sans Text;sans-serif" w:hAnsi="Google Sans Text;sans-serif"/>
        </w:rPr>
        <w:t>limit=10</w:t>
      </w:r>
      <w:r>
        <w:rPr>
          <w:rFonts w:eastAsia="Google Sans Text;sans-serif"/>
        </w:rPr>
        <w:t>），对于长期停牌失去流动性的个股应直接从当期的信号计算池中剔除。</w:t>
      </w:r>
    </w:p>
    <w:p>
      <w:pPr>
        <w:pStyle w:val="BodyText"/>
        <w:bidi w:val="0"/>
        <w:spacing w:lineRule="auto" w:line="273" w:before="0" w:after="140"/>
        <w:ind w:hanging="0" w:start="0" w:end="0"/>
        <w:jc w:val="start"/>
        <w:rPr/>
      </w:pPr>
      <w:r>
        <w:rPr>
          <w:rFonts w:eastAsia="Google Sans Text;sans-serif"/>
        </w:rPr>
        <w:t xml:space="preserve">在完成了无偏差的数据对齐后，系统将形成一个统一的 </w:t>
      </w:r>
      <w:r>
        <w:rPr>
          <w:rStyle w:val="Style12"/>
          <w:rFonts w:ascii="Google Sans Text;sans-serif" w:hAnsi="Google Sans Text;sans-serif"/>
        </w:rPr>
        <w:t>MultiIndex DataFrame</w:t>
      </w:r>
      <w:r>
        <w:rPr>
          <w:rFonts w:eastAsia="Google Sans Text;sans-serif"/>
        </w:rPr>
        <w:t>，使得每一行的日线记录都并列携带着其归属的当前动态周线与动态月线的量价特征。这种三维立体的数据结构为多尺度威科夫形态的扫描奠定了坚实的工程基座。</w:t>
      </w:r>
    </w:p>
    <w:p>
      <w:pPr>
        <w:pStyle w:val="Heading2"/>
        <w:bidi w:val="0"/>
        <w:spacing w:lineRule="auto" w:line="273" w:before="0" w:after="140"/>
        <w:ind w:hanging="0" w:start="0" w:end="0"/>
        <w:jc w:val="start"/>
        <w:rPr>
          <w:rFonts w:eastAsia="Google Sans;sans-serif"/>
        </w:rPr>
      </w:pPr>
      <w:r>
        <w:rPr>
          <w:rFonts w:eastAsia="Google Sans;sans-serif"/>
        </w:rPr>
        <w:t>突破主观唯心主义：基于概率云与似然度坍缩的威科夫量化模型</w:t>
      </w:r>
    </w:p>
    <w:p>
      <w:pPr>
        <w:pStyle w:val="BodyText"/>
        <w:bidi w:val="0"/>
        <w:spacing w:lineRule="auto" w:line="273" w:before="0" w:after="140"/>
        <w:ind w:hanging="0" w:start="0" w:end="0"/>
        <w:jc w:val="start"/>
        <w:rPr/>
      </w:pPr>
      <w:bookmarkStart w:id="14" w:name="p-c_fa058463f8ed15a9_c68acc42-6019-44efe"/>
      <w:bookmarkEnd w:id="14"/>
      <w:r>
        <w:rPr>
          <w:rFonts w:eastAsia="Google Sans Text;sans-serif"/>
        </w:rPr>
        <w:t>纵然威科夫理论在逻辑上无懈可击，但其在过去百年中未能像均线交叉或</w:t>
      </w:r>
      <w:r>
        <w:rPr>
          <w:rFonts w:ascii="Google Sans Text;sans-serif" w:hAnsi="Google Sans Text;sans-serif"/>
        </w:rPr>
        <w:t>MACD</w:t>
      </w:r>
      <w:r>
        <w:rPr>
          <w:rFonts w:eastAsia="Google Sans Text;sans-serif"/>
        </w:rPr>
        <w:t>那样被广泛编写为自动化交易脚本，根本原因在于其强烈的“主观性”与“唯心主义”色彩。一张</w:t>
      </w:r>
      <w:r>
        <w:rPr>
          <w:rFonts w:ascii="Google Sans Text;sans-serif" w:hAnsi="Google Sans Text;sans-serif"/>
        </w:rPr>
        <w:t>A</w:t>
      </w:r>
      <w:r>
        <w:rPr>
          <w:rFonts w:eastAsia="Google Sans Text;sans-serif"/>
        </w:rPr>
        <w:t>股日线图，一千个交易员可能会标注出一千种不同的初次支撑（</w:t>
      </w:r>
      <w:r>
        <w:rPr>
          <w:rFonts w:ascii="Google Sans Text;sans-serif" w:hAnsi="Google Sans Text;sans-serif"/>
        </w:rPr>
        <w:t>PS</w:t>
      </w:r>
      <w:r>
        <w:rPr>
          <w:rFonts w:eastAsia="Google Sans Text;sans-serif"/>
        </w:rPr>
        <w:t>）和恐慌抛售（</w:t>
      </w:r>
      <w:r>
        <w:rPr>
          <w:rFonts w:ascii="Google Sans Text;sans-serif" w:hAnsi="Google Sans Text;sans-serif"/>
        </w:rPr>
        <w:t>SC</w:t>
      </w:r>
      <w:r>
        <w:rPr>
          <w:rFonts w:eastAsia="Google Sans Text;sans-serif"/>
        </w:rPr>
        <w:t>）位置。为了克服这一形态识别的模糊性，现代顶尖量化架构引入了量子力学中的“概率云”（</w:t>
      </w:r>
      <w:r>
        <w:rPr>
          <w:rFonts w:ascii="Google Sans Text;sans-serif" w:hAnsi="Google Sans Text;sans-serif"/>
        </w:rPr>
        <w:t>Probability Cloud</w:t>
      </w:r>
      <w:r>
        <w:rPr>
          <w:rFonts w:eastAsia="Google Sans Text;sans-serif"/>
        </w:rPr>
        <w:t>）概念，对威科夫事件进行了深刻的数学重构。</w:t>
      </w:r>
    </w:p>
    <w:p>
      <w:pPr>
        <w:pStyle w:val="BodyText"/>
        <w:bidi w:val="0"/>
        <w:spacing w:lineRule="auto" w:line="273" w:before="0" w:after="140"/>
        <w:ind w:hanging="0" w:start="0" w:end="0"/>
        <w:jc w:val="start"/>
        <w:rPr/>
      </w:pPr>
      <w:bookmarkStart w:id="15" w:name="p-c_fa058463f8ed15a9_c68acc42-6019-44eff"/>
      <w:bookmarkEnd w:id="15"/>
      <w:r>
        <w:rPr>
          <w:rFonts w:eastAsia="Google Sans Text;sans-serif"/>
        </w:rPr>
        <w:t>在这一创新性框架下，系统不再武断地判定某一根</w:t>
      </w:r>
      <w:r>
        <w:rPr>
          <w:rFonts w:ascii="Google Sans Text;sans-serif" w:hAnsi="Google Sans Text;sans-serif"/>
        </w:rPr>
        <w:t>K</w:t>
      </w:r>
      <w:r>
        <w:rPr>
          <w:rFonts w:eastAsia="Google Sans Text;sans-serif"/>
        </w:rPr>
        <w:t>线“是”或“不是”特定的威科夫事件。相反，每一根新产生的</w:t>
      </w:r>
      <w:r>
        <w:rPr>
          <w:rFonts w:ascii="Google Sans Text;sans-serif" w:hAnsi="Google Sans Text;sans-serif"/>
        </w:rPr>
        <w:t>K</w:t>
      </w:r>
      <w:r>
        <w:rPr>
          <w:rFonts w:eastAsia="Google Sans Text;sans-serif"/>
        </w:rPr>
        <w:t>线都被视为一种多重事件概率的“叠加态”（</w:t>
      </w:r>
      <w:r>
        <w:rPr>
          <w:rFonts w:ascii="Google Sans Text;sans-serif" w:hAnsi="Google Sans Text;sans-serif"/>
        </w:rPr>
        <w:t>Superposition State</w:t>
      </w:r>
      <w:r>
        <w:rPr>
          <w:rFonts w:eastAsia="Google Sans Text;sans-serif"/>
        </w:rPr>
        <w:t>）。</w:t>
      </w:r>
    </w:p>
    <w:p>
      <w:pPr>
        <w:pStyle w:val="BodyText"/>
        <w:bidi w:val="0"/>
        <w:spacing w:lineRule="auto" w:line="273" w:before="0" w:after="140"/>
        <w:ind w:hanging="0" w:start="0" w:end="0"/>
        <w:jc w:val="start"/>
        <w:rPr/>
      </w:pPr>
      <w:bookmarkStart w:id="16" w:name="p-c_fa058463f8ed15a9_c68acc42-6019-44efg"/>
      <w:bookmarkEnd w:id="16"/>
      <w:r>
        <w:rPr>
          <w:rFonts w:eastAsia="Google Sans Text;sans-serif"/>
        </w:rPr>
        <w:t>首先，架构利用基础的技术指标作为客观的标尺来锚定宏观背景。例如，通过</w:t>
      </w:r>
      <w:r>
        <w:rPr>
          <w:rFonts w:ascii="Google Sans Text;sans-serif" w:hAnsi="Google Sans Text;sans-serif"/>
        </w:rPr>
        <w:t>MACD</w:t>
      </w:r>
      <w:r>
        <w:rPr>
          <w:rFonts w:eastAsia="Google Sans Text;sans-serif"/>
        </w:rPr>
        <w:t>柱面（</w:t>
      </w:r>
      <w:r>
        <w:rPr>
          <w:rFonts w:ascii="Google Sans Text;sans-serif" w:hAnsi="Google Sans Text;sans-serif"/>
        </w:rPr>
        <w:t>Histogram</w:t>
      </w:r>
      <w:r>
        <w:rPr>
          <w:rFonts w:eastAsia="Google Sans Text;sans-serif"/>
        </w:rPr>
        <w:t>）的动量衰减与背离面积，结合长短期移动平均线的排列，将当前的走势背景严格划分为趋势段与盘整段，并自动化定义出水平的震荡区间边界与倾斜的趋势通道。</w:t>
      </w:r>
    </w:p>
    <w:p>
      <w:pPr>
        <w:pStyle w:val="BodyText"/>
        <w:bidi w:val="0"/>
        <w:spacing w:lineRule="auto" w:line="273" w:before="0" w:after="140"/>
        <w:ind w:hanging="0" w:start="0" w:end="0"/>
        <w:jc w:val="start"/>
        <w:rPr/>
      </w:pPr>
      <w:r>
        <w:rPr>
          <w:rFonts w:eastAsia="Google Sans Text;sans-serif"/>
        </w:rPr>
        <w:t>在客观背景确立后，系统利用“似然度”（</w:t>
      </w:r>
      <w:r>
        <w:rPr>
          <w:rFonts w:ascii="Google Sans Text;sans-serif" w:hAnsi="Google Sans Text;sans-serif"/>
        </w:rPr>
        <w:t>Likelihood</w:t>
      </w:r>
      <w:r>
        <w:rPr>
          <w:rFonts w:eastAsia="Google Sans Text;sans-serif"/>
        </w:rPr>
        <w:t xml:space="preserve">）函数量化各威科夫事件发生的概率。对于给定的时间窗口内的多维特征向量集 </w:t>
      </w:r>
      <w:r>
        <w:rPr>
          <w:rFonts w:ascii="Google Sans Text;sans-serif" w:hAnsi="Google Sans Text;sans-serif"/>
        </w:rPr>
        <w:t>$F$</w:t>
      </w:r>
      <w:r>
        <w:rPr>
          <w:rFonts w:eastAsia="Google Sans Text;sans-serif"/>
        </w:rPr>
        <w:t>（包含相对成交量极值、下影线比例、</w:t>
      </w:r>
      <w:r>
        <w:rPr>
          <w:rFonts w:ascii="Google Sans Text;sans-serif" w:hAnsi="Google Sans Text;sans-serif"/>
        </w:rPr>
        <w:t>P&amp;F</w:t>
      </w:r>
      <w:r>
        <w:rPr>
          <w:rFonts w:eastAsia="Google Sans Text;sans-serif"/>
        </w:rPr>
        <w:t xml:space="preserve">点数偏移、价格穿越频次等），某一威科夫特定事件 </w:t>
      </w:r>
      <w:r>
        <w:rPr>
          <w:rFonts w:ascii="Google Sans Text;sans-serif" w:hAnsi="Google Sans Text;sans-serif"/>
        </w:rPr>
        <w:t>$E_i$</w:t>
      </w:r>
      <w:r>
        <w:rPr>
          <w:rFonts w:eastAsia="Google Sans Text;sans-serif"/>
        </w:rPr>
        <w:t xml:space="preserve">（例如：弹簧效应 </w:t>
      </w:r>
      <w:r>
        <w:rPr>
          <w:rFonts w:ascii="Google Sans Text;sans-serif" w:hAnsi="Google Sans Text;sans-serif"/>
        </w:rPr>
        <w:t>Spring</w:t>
      </w:r>
      <w:r>
        <w:rPr>
          <w:rFonts w:eastAsia="Google Sans Text;sans-serif"/>
        </w:rPr>
        <w:t>）发生的条件概率可以表示为：</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$$P(E_i | F) = \frac{P(F | E_i) \cdot P(E_i)}{\sum_{j} P(F | E_j) \cdot P(E_j)}$$</w:t>
      </w:r>
    </w:p>
    <w:p>
      <w:pPr>
        <w:pStyle w:val="BodyText"/>
        <w:bidi w:val="0"/>
        <w:spacing w:lineRule="auto" w:line="273" w:before="0" w:after="140"/>
        <w:ind w:hanging="0" w:start="0" w:end="0"/>
        <w:jc w:val="start"/>
        <w:rPr/>
      </w:pPr>
      <w:bookmarkStart w:id="17" w:name="p-c_fa058463f8ed15a9_c68acc42-6019-44efh"/>
      <w:bookmarkEnd w:id="17"/>
      <w:r>
        <w:rPr>
          <w:rFonts w:eastAsia="Google Sans Text;sans-serif"/>
        </w:rPr>
        <w:t>在实盘运算中，随着时间序列的推进，新的</w:t>
      </w:r>
      <w:r>
        <w:rPr>
          <w:rFonts w:ascii="Google Sans Text;sans-serif" w:hAnsi="Google Sans Text;sans-serif"/>
        </w:rPr>
        <w:t>K</w:t>
      </w:r>
      <w:r>
        <w:rPr>
          <w:rFonts w:eastAsia="Google Sans Text;sans-serif"/>
        </w:rPr>
        <w:t>线不断生成，系统获得了新的后验信息。例如，一根放量大跌的长阴线在当日有</w:t>
      </w:r>
      <w:r>
        <w:rPr>
          <w:rFonts w:ascii="Google Sans Text;sans-serif" w:hAnsi="Google Sans Text;sans-serif"/>
        </w:rPr>
        <w:t>70%</w:t>
      </w:r>
      <w:r>
        <w:rPr>
          <w:rFonts w:eastAsia="Google Sans Text;sans-serif"/>
        </w:rPr>
        <w:t>的似然度是恐慌抛售（</w:t>
      </w:r>
      <w:r>
        <w:rPr>
          <w:rFonts w:ascii="Google Sans Text;sans-serif" w:hAnsi="Google Sans Text;sans-serif"/>
        </w:rPr>
        <w:t>SC</w:t>
      </w:r>
      <w:r>
        <w:rPr>
          <w:rFonts w:eastAsia="Google Sans Text;sans-serif"/>
        </w:rPr>
        <w:t>），</w:t>
      </w:r>
      <w:r>
        <w:rPr>
          <w:rFonts w:ascii="Google Sans Text;sans-serif" w:hAnsi="Google Sans Text;sans-serif"/>
        </w:rPr>
        <w:t>20%</w:t>
      </w:r>
      <w:r>
        <w:rPr>
          <w:rFonts w:eastAsia="Google Sans Text;sans-serif"/>
        </w:rPr>
        <w:t>的似然度是普通的主跌浪延续，</w:t>
      </w:r>
      <w:r>
        <w:rPr>
          <w:rFonts w:ascii="Google Sans Text;sans-serif" w:hAnsi="Google Sans Text;sans-serif"/>
        </w:rPr>
        <w:t>10%</w:t>
      </w:r>
      <w:r>
        <w:rPr>
          <w:rFonts w:eastAsia="Google Sans Text;sans-serif"/>
        </w:rPr>
        <w:t xml:space="preserve">的似然度是假摔。如果随后的三个交易日内，价格出现显著的缩量止跌并快速反弹至阴线实体上方（触发了自动反弹 </w:t>
      </w:r>
      <w:r>
        <w:rPr>
          <w:rFonts w:ascii="Google Sans Text;sans-serif" w:hAnsi="Google Sans Text;sans-serif"/>
        </w:rPr>
        <w:t xml:space="preserve">AR </w:t>
      </w:r>
      <w:r>
        <w:rPr>
          <w:rFonts w:eastAsia="Google Sans Text;sans-serif"/>
        </w:rPr>
        <w:t>的特征），那么系统将执行“概率坍缩”（</w:t>
      </w:r>
      <w:r>
        <w:rPr>
          <w:rFonts w:ascii="Google Sans Text;sans-serif" w:hAnsi="Google Sans Text;sans-serif"/>
        </w:rPr>
        <w:t>Probability Collapse</w:t>
      </w:r>
      <w:r>
        <w:rPr>
          <w:rFonts w:eastAsia="Google Sans Text;sans-serif"/>
        </w:rPr>
        <w:t>），将此前那根阴线的状态绝对锁定为</w:t>
      </w:r>
      <w:r>
        <w:rPr>
          <w:rFonts w:ascii="Google Sans Text;sans-serif" w:hAnsi="Google Sans Text;sans-serif"/>
        </w:rPr>
        <w:t>SC</w:t>
      </w:r>
      <w:r>
        <w:rPr>
          <w:rFonts w:eastAsia="Google Sans Text;sans-serif"/>
        </w:rPr>
        <w:t>，并将非关键的噪音</w:t>
      </w:r>
      <w:r>
        <w:rPr>
          <w:rFonts w:ascii="Google Sans Text;sans-serif" w:hAnsi="Google Sans Text;sans-serif"/>
        </w:rPr>
        <w:t>K</w:t>
      </w:r>
      <w:r>
        <w:rPr>
          <w:rFonts w:eastAsia="Google Sans Text;sans-serif"/>
        </w:rPr>
        <w:t>线直接从逻辑链条中剔除。</w:t>
      </w:r>
    </w:p>
    <w:p>
      <w:pPr>
        <w:pStyle w:val="BodyText"/>
        <w:bidi w:val="0"/>
        <w:spacing w:lineRule="auto" w:line="273" w:before="0" w:after="140"/>
        <w:ind w:hanging="0" w:start="0" w:end="0"/>
        <w:jc w:val="start"/>
        <w:rPr/>
      </w:pPr>
      <w:bookmarkStart w:id="18" w:name="p-c_fa058463f8ed15a9_c68acc42-6019-44efi"/>
      <w:bookmarkEnd w:id="18"/>
      <w:r>
        <w:rPr>
          <w:rFonts w:eastAsia="Google Sans Text;sans-serif"/>
        </w:rPr>
        <w:t>经过不断地叠加与坍缩，复杂的</w:t>
      </w:r>
      <w:r>
        <w:rPr>
          <w:rFonts w:ascii="Google Sans Text;sans-serif" w:hAnsi="Google Sans Text;sans-serif"/>
        </w:rPr>
        <w:t>A</w:t>
      </w:r>
      <w:r>
        <w:rPr>
          <w:rFonts w:eastAsia="Google Sans Text;sans-serif"/>
        </w:rPr>
        <w:t>股</w:t>
      </w:r>
      <w:r>
        <w:rPr>
          <w:rFonts w:ascii="Google Sans Text;sans-serif" w:hAnsi="Google Sans Text;sans-serif"/>
        </w:rPr>
        <w:t>K</w:t>
      </w:r>
      <w:r>
        <w:rPr>
          <w:rFonts w:eastAsia="Google Sans Text;sans-serif"/>
        </w:rPr>
        <w:t>线图表被系统提纯为一个高度结构化的“威科夫事件形态时序关系向量”。基于这些被量化确认的事件序列，国内券商的金融工程团队（如民生金工）提出了两种被历史数据验证具有卓越前瞻择时能力的映射路径：</w:t>
      </w:r>
    </w:p>
    <w:p>
      <w:pPr>
        <w:pStyle w:val="BodyText"/>
        <w:numPr>
          <w:ilvl w:val="0"/>
          <w:numId w:val="2"/>
        </w:numPr>
        <w:pBdr/>
        <w:tabs>
          <w:tab w:val="clear" w:pos="420"/>
          <w:tab w:val="left" w:pos="709" w:leader="none"/>
        </w:tabs>
        <w:bidi w:val="0"/>
        <w:spacing w:lineRule="auto" w:line="273" w:before="0" w:after="140"/>
        <w:ind w:hanging="283" w:start="709" w:end="0"/>
        <w:jc w:val="start"/>
        <w:rPr/>
      </w:pPr>
      <w:bookmarkStart w:id="19" w:name="p-c_fa058463f8ed15a9_c68acc42-6019-44efj"/>
      <w:bookmarkEnd w:id="19"/>
      <w:r>
        <w:rPr>
          <w:rFonts w:eastAsia="Google Sans Text;sans-serif"/>
          <w:b/>
        </w:rPr>
        <w:t>数值映射方法（</w:t>
      </w:r>
      <w:r>
        <w:rPr>
          <w:rFonts w:ascii="Google Sans Text;sans-serif" w:hAnsi="Google Sans Text;sans-serif"/>
          <w:b/>
        </w:rPr>
        <w:t>WSO, Wyckoff Score Oscillator</w:t>
      </w:r>
      <w:r>
        <w:rPr>
          <w:rFonts w:eastAsia="Google Sans Text;sans-serif"/>
          <w:b/>
        </w:rPr>
        <w:t>）</w:t>
      </w:r>
      <w:r>
        <w:rPr>
          <w:rFonts w:eastAsia="Google Sans Text;sans-serif"/>
        </w:rPr>
        <w:t>：将每个经过坍缩确立的威科夫事件映射为一个特定的标准分数。例如，确认</w:t>
      </w:r>
      <w:r>
        <w:rPr>
          <w:rFonts w:ascii="Google Sans Text;sans-serif" w:hAnsi="Google Sans Text;sans-serif"/>
        </w:rPr>
        <w:t>SC</w:t>
      </w:r>
      <w:r>
        <w:rPr>
          <w:rFonts w:eastAsia="Google Sans Text;sans-serif"/>
        </w:rPr>
        <w:t>得</w:t>
      </w:r>
      <w:r>
        <w:rPr>
          <w:rFonts w:ascii="Google Sans Text;sans-serif" w:hAnsi="Google Sans Text;sans-serif"/>
        </w:rPr>
        <w:t>+2</w:t>
      </w:r>
      <w:r>
        <w:rPr>
          <w:rFonts w:eastAsia="Google Sans Text;sans-serif"/>
        </w:rPr>
        <w:t>分，确认</w:t>
      </w:r>
      <w:r>
        <w:rPr>
          <w:rFonts w:ascii="Google Sans Text;sans-serif" w:hAnsi="Google Sans Text;sans-serif"/>
        </w:rPr>
        <w:t>ST</w:t>
      </w:r>
      <w:r>
        <w:rPr>
          <w:rFonts w:eastAsia="Google Sans Text;sans-serif"/>
        </w:rPr>
        <w:t>且缩量得</w:t>
      </w:r>
      <w:r>
        <w:rPr>
          <w:rFonts w:ascii="Google Sans Text;sans-serif" w:hAnsi="Google Sans Text;sans-serif"/>
        </w:rPr>
        <w:t>+3</w:t>
      </w:r>
      <w:r>
        <w:rPr>
          <w:rFonts w:eastAsia="Google Sans Text;sans-serif"/>
        </w:rPr>
        <w:t>分，出现破位派发信号得</w:t>
      </w:r>
      <w:r>
        <w:rPr>
          <w:rFonts w:ascii="Google Sans Text;sans-serif" w:hAnsi="Google Sans Text;sans-serif"/>
        </w:rPr>
        <w:t>-3</w:t>
      </w:r>
      <w:r>
        <w:rPr>
          <w:rFonts w:eastAsia="Google Sans Text;sans-serif"/>
        </w:rPr>
        <w:t>分。随后，对这些离散的得分序列在时间轴上应用指数加权移动平均（</w:t>
      </w:r>
      <w:r>
        <w:rPr>
          <w:rFonts w:ascii="Google Sans Text;sans-serif" w:hAnsi="Google Sans Text;sans-serif"/>
        </w:rPr>
        <w:t>EMA</w:t>
      </w:r>
      <w:r>
        <w:rPr>
          <w:rFonts w:eastAsia="Google Sans Text;sans-serif"/>
        </w:rPr>
        <w:t>），计算出平滑的综合得分</w:t>
      </w:r>
      <w:r>
        <w:rPr>
          <w:rFonts w:ascii="Google Sans Text;sans-serif" w:hAnsi="Google Sans Text;sans-serif"/>
        </w:rPr>
        <w:t>WSO</w:t>
      </w:r>
      <w:r>
        <w:rPr>
          <w:rFonts w:eastAsia="Google Sans Text;sans-serif"/>
        </w:rPr>
        <w:t>。回测数据显示，</w:t>
      </w:r>
      <w:r>
        <w:rPr>
          <w:rFonts w:ascii="Google Sans Text;sans-serif" w:hAnsi="Google Sans Text;sans-serif"/>
        </w:rPr>
        <w:t>WSO</w:t>
      </w:r>
      <w:r>
        <w:rPr>
          <w:rFonts w:eastAsia="Google Sans Text;sans-serif"/>
        </w:rPr>
        <w:t>作为纯样本外数据集的择时工具表现出极强的稳定性，在</w:t>
      </w:r>
      <w:r>
        <w:rPr>
          <w:rFonts w:ascii="Google Sans Text;sans-serif" w:hAnsi="Google Sans Text;sans-serif"/>
        </w:rPr>
        <w:t>2010</w:t>
      </w:r>
      <w:r>
        <w:rPr>
          <w:rFonts w:eastAsia="Google Sans Text;sans-serif"/>
        </w:rPr>
        <w:t>年至</w:t>
      </w:r>
      <w:r>
        <w:rPr>
          <w:rFonts w:ascii="Google Sans Text;sans-serif" w:hAnsi="Google Sans Text;sans-serif"/>
        </w:rPr>
        <w:t>2024</w:t>
      </w:r>
      <w:r>
        <w:rPr>
          <w:rFonts w:eastAsia="Google Sans Text;sans-serif"/>
        </w:rPr>
        <w:t>年</w:t>
      </w:r>
      <w:r>
        <w:rPr>
          <w:rFonts w:ascii="Google Sans Text;sans-serif" w:hAnsi="Google Sans Text;sans-serif"/>
        </w:rPr>
        <w:t>6</w:t>
      </w:r>
      <w:r>
        <w:rPr>
          <w:rFonts w:eastAsia="Google Sans Text;sans-serif"/>
        </w:rPr>
        <w:t>月的跨度中，获得了</w:t>
      </w:r>
      <w:r>
        <w:rPr>
          <w:rFonts w:ascii="Google Sans Text;sans-serif" w:hAnsi="Google Sans Text;sans-serif"/>
        </w:rPr>
        <w:t>16.78%</w:t>
      </w:r>
      <w:r>
        <w:rPr>
          <w:rFonts w:eastAsia="Google Sans Text;sans-serif"/>
        </w:rPr>
        <w:t>的年化绝对收益率。</w:t>
      </w:r>
    </w:p>
    <w:p>
      <w:pPr>
        <w:pStyle w:val="BodyText"/>
        <w:numPr>
          <w:ilvl w:val="0"/>
          <w:numId w:val="2"/>
        </w:numPr>
        <w:pBdr/>
        <w:tabs>
          <w:tab w:val="clear" w:pos="420"/>
          <w:tab w:val="left" w:pos="709" w:leader="none"/>
        </w:tabs>
        <w:bidi w:val="0"/>
        <w:spacing w:lineRule="auto" w:line="273" w:before="0" w:after="140"/>
        <w:ind w:hanging="283" w:start="709" w:end="0"/>
        <w:jc w:val="start"/>
        <w:rPr/>
      </w:pPr>
      <w:bookmarkStart w:id="20" w:name="p-c_fa058463f8ed15a9_c68acc42-6019-44efk"/>
      <w:bookmarkEnd w:id="20"/>
      <w:r>
        <w:rPr>
          <w:rFonts w:eastAsia="Google Sans Text;sans-serif"/>
          <w:b/>
        </w:rPr>
        <w:t>规律统计方法（</w:t>
      </w:r>
      <w:r>
        <w:rPr>
          <w:rFonts w:ascii="Google Sans Text;sans-serif" w:hAnsi="Google Sans Text;sans-serif"/>
          <w:b/>
        </w:rPr>
        <w:t>WSS, Wyckoff Statistical Score</w:t>
      </w:r>
      <w:r>
        <w:rPr>
          <w:rFonts w:eastAsia="Google Sans Text;sans-serif"/>
          <w:b/>
        </w:rPr>
        <w:t>）</w:t>
      </w:r>
      <w:r>
        <w:rPr>
          <w:rFonts w:eastAsia="Google Sans Text;sans-serif"/>
        </w:rPr>
        <w:t>：这种方法更进一步，放弃了预设的主观评分，转而统计不同事件形态序列（</w:t>
      </w:r>
      <w:r>
        <w:rPr>
          <w:rFonts w:ascii="Google Sans Text;sans-serif" w:hAnsi="Google Sans Text;sans-serif"/>
        </w:rPr>
        <w:t>Sequence</w:t>
      </w:r>
      <w:r>
        <w:rPr>
          <w:rFonts w:eastAsia="Google Sans Text;sans-serif"/>
        </w:rPr>
        <w:t xml:space="preserve">）出现后，市场在未来 </w:t>
      </w:r>
      <w:r>
        <w:rPr>
          <w:rFonts w:ascii="Google Sans Text;sans-serif" w:hAnsi="Google Sans Text;sans-serif"/>
        </w:rPr>
        <w:t xml:space="preserve">$N$ </w:t>
      </w:r>
      <w:r>
        <w:rPr>
          <w:rFonts w:eastAsia="Google Sans Text;sans-serif"/>
        </w:rPr>
        <w:t xml:space="preserve">个交易日的真实收益率分布（马尔可夫链状态转移的思想）。通过挖掘具有统计显著性的时序关系序列（如序列 </w:t>
      </w:r>
      <w:r>
        <w:rPr>
          <w:rStyle w:val="Style12"/>
          <w:rFonts w:ascii="Google Sans Text;sans-serif" w:hAnsi="Google Sans Text;sans-serif"/>
        </w:rPr>
        <w:t>PS -&gt; SC -&gt; AR -&gt; ST</w:t>
      </w:r>
      <w:r>
        <w:rPr>
          <w:rFonts w:ascii="Google Sans Text;sans-serif" w:hAnsi="Google Sans Text;sans-serif"/>
        </w:rPr>
        <w:t xml:space="preserve"> </w:t>
      </w:r>
      <w:r>
        <w:rPr>
          <w:rFonts w:eastAsia="Google Sans Text;sans-serif"/>
        </w:rPr>
        <w:t>在历史数据中对应未来</w:t>
      </w:r>
      <w:r>
        <w:rPr>
          <w:rFonts w:ascii="Google Sans Text;sans-serif" w:hAnsi="Google Sans Text;sans-serif"/>
        </w:rPr>
        <w:t>20</w:t>
      </w:r>
      <w:r>
        <w:rPr>
          <w:rFonts w:eastAsia="Google Sans Text;sans-serif"/>
        </w:rPr>
        <w:t>日上涨概率达</w:t>
      </w:r>
      <w:r>
        <w:rPr>
          <w:rFonts w:ascii="Google Sans Text;sans-serif" w:hAnsi="Google Sans Text;sans-serif"/>
        </w:rPr>
        <w:t>75%</w:t>
      </w:r>
      <w:r>
        <w:rPr>
          <w:rFonts w:eastAsia="Google Sans Text;sans-serif"/>
        </w:rPr>
        <w:t>），并进行动态的胜率与赔率映射得到</w:t>
      </w:r>
      <w:r>
        <w:rPr>
          <w:rFonts w:ascii="Google Sans Text;sans-serif" w:hAnsi="Google Sans Text;sans-serif"/>
        </w:rPr>
        <w:t>WSS</w:t>
      </w:r>
      <w:r>
        <w:rPr>
          <w:rFonts w:eastAsia="Google Sans Text;sans-serif"/>
        </w:rPr>
        <w:t>打分系统。实证结果表明，</w:t>
      </w:r>
      <w:r>
        <w:rPr>
          <w:rFonts w:ascii="Google Sans Text;sans-serif" w:hAnsi="Google Sans Text;sans-serif"/>
        </w:rPr>
        <w:t>WSS</w:t>
      </w:r>
      <w:r>
        <w:rPr>
          <w:rFonts w:eastAsia="Google Sans Text;sans-serif"/>
        </w:rPr>
        <w:t>相比</w:t>
      </w:r>
      <w:r>
        <w:rPr>
          <w:rFonts w:ascii="Google Sans Text;sans-serif" w:hAnsi="Google Sans Text;sans-serif"/>
        </w:rPr>
        <w:t>WSO</w:t>
      </w:r>
      <w:r>
        <w:rPr>
          <w:rFonts w:eastAsia="Google Sans Text;sans-serif"/>
        </w:rPr>
        <w:t>在收益获取和回撤控制上均有大幅提升，同期在</w:t>
      </w:r>
      <w:r>
        <w:rPr>
          <w:rFonts w:ascii="Google Sans Text;sans-serif" w:hAnsi="Google Sans Text;sans-serif"/>
        </w:rPr>
        <w:t>A</w:t>
      </w:r>
      <w:r>
        <w:rPr>
          <w:rFonts w:eastAsia="Google Sans Text;sans-serif"/>
        </w:rPr>
        <w:t>股实现了高达</w:t>
      </w:r>
      <w:r>
        <w:rPr>
          <w:rFonts w:ascii="Google Sans Text;sans-serif" w:hAnsi="Google Sans Text;sans-serif"/>
        </w:rPr>
        <w:t>25.04%</w:t>
      </w:r>
      <w:r>
        <w:rPr>
          <w:rFonts w:eastAsia="Google Sans Text;sans-serif"/>
        </w:rPr>
        <w:t>的惊人年化收益率。</w:t>
      </w:r>
    </w:p>
    <w:p>
      <w:pPr>
        <w:pStyle w:val="BodyText"/>
        <w:bidi w:val="0"/>
        <w:spacing w:lineRule="auto" w:line="273" w:before="0" w:after="140"/>
        <w:ind w:hanging="0" w:start="0" w:end="0"/>
        <w:jc w:val="start"/>
        <w:rPr/>
      </w:pPr>
      <w:bookmarkStart w:id="21" w:name="p-c_fa058463f8ed15a9_c68acc42-6019-44efl"/>
      <w:bookmarkEnd w:id="21"/>
      <w:r>
        <w:rPr>
          <w:rFonts w:eastAsia="Google Sans Text;sans-serif"/>
        </w:rPr>
        <w:t>不论采用</w:t>
      </w:r>
      <w:r>
        <w:rPr>
          <w:rFonts w:ascii="Google Sans Text;sans-serif" w:hAnsi="Google Sans Text;sans-serif"/>
        </w:rPr>
        <w:t>WSO</w:t>
      </w:r>
      <w:r>
        <w:rPr>
          <w:rFonts w:eastAsia="Google Sans Text;sans-serif"/>
        </w:rPr>
        <w:t>还是</w:t>
      </w:r>
      <w:r>
        <w:rPr>
          <w:rFonts w:ascii="Google Sans Text;sans-serif" w:hAnsi="Google Sans Text;sans-serif"/>
        </w:rPr>
        <w:t>WSS</w:t>
      </w:r>
      <w:r>
        <w:rPr>
          <w:rFonts w:eastAsia="Google Sans Text;sans-serif"/>
        </w:rPr>
        <w:t>，由于威科夫模型的判定依赖于完整周期阶段的演化，个股年均触发有效择时信号的次数通常仅在</w:t>
      </w:r>
      <w:r>
        <w:rPr>
          <w:rFonts w:ascii="Google Sans Text;sans-serif" w:hAnsi="Google Sans Text;sans-serif"/>
        </w:rPr>
        <w:t>6</w:t>
      </w:r>
      <w:r>
        <w:rPr>
          <w:rFonts w:eastAsia="Google Sans Text;sans-serif"/>
        </w:rPr>
        <w:t>到</w:t>
      </w:r>
      <w:r>
        <w:rPr>
          <w:rFonts w:ascii="Google Sans Text;sans-serif" w:hAnsi="Google Sans Text;sans-serif"/>
        </w:rPr>
        <w:t>9</w:t>
      </w:r>
      <w:r>
        <w:rPr>
          <w:rFonts w:eastAsia="Google Sans Text;sans-serif"/>
        </w:rPr>
        <w:t>次之间。这深刻地表明，概率云表达下的威科夫量化模型属于低频、高胜率的中期择时工具，完美契合了资金体量较大的机构账户对交易容量（</w:t>
      </w:r>
      <w:r>
        <w:rPr>
          <w:rFonts w:ascii="Google Sans Text;sans-serif" w:hAnsi="Google Sans Text;sans-serif"/>
        </w:rPr>
        <w:t>Capacity</w:t>
      </w:r>
      <w:r>
        <w:rPr>
          <w:rFonts w:eastAsia="Google Sans Text;sans-serif"/>
        </w:rPr>
        <w:t>）和冲击成本（</w:t>
      </w:r>
      <w:r>
        <w:rPr>
          <w:rFonts w:ascii="Google Sans Text;sans-serif" w:hAnsi="Google Sans Text;sans-serif"/>
        </w:rPr>
        <w:t>Market Impact</w:t>
      </w:r>
      <w:r>
        <w:rPr>
          <w:rFonts w:eastAsia="Google Sans Text;sans-serif"/>
        </w:rPr>
        <w:t>）的苛刻要求。</w:t>
      </w:r>
    </w:p>
    <w:tbl>
      <w:tblPr>
        <w:tblW w:w="9638" w:type="dxa"/>
        <w:jc w:val="start"/>
        <w:tblInd w:w="0" w:type="dxa"/>
        <w:tblLayout w:type="fixed"/>
        <w:tblCellMar>
          <w:top w:w="120" w:type="dxa"/>
          <w:start w:w="180" w:type="dxa"/>
          <w:bottom w:w="120" w:type="dxa"/>
          <w:end w:w="180" w:type="dxa"/>
        </w:tblCellMar>
      </w:tblPr>
      <w:tblGrid>
        <w:gridCol w:w="1345"/>
        <w:gridCol w:w="3708"/>
        <w:gridCol w:w="1622"/>
        <w:gridCol w:w="2963"/>
      </w:tblGrid>
      <w:tr>
        <w:trPr>
          <w:tblHeader w:val="true"/>
        </w:trPr>
        <w:tc>
          <w:tcPr>
            <w:tcW w:w="13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eastAsia="Google Sans Text;sans-serif"/>
              </w:rPr>
              <w:t>威科夫量化映射模型</w:t>
            </w:r>
          </w:p>
        </w:tc>
        <w:tc>
          <w:tcPr>
            <w:tcW w:w="3708"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eastAsia="Google Sans Text;sans-serif"/>
              </w:rPr>
              <w:t>核心算法原理</w:t>
            </w:r>
          </w:p>
        </w:tc>
        <w:tc>
          <w:tcPr>
            <w:tcW w:w="1622"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ascii="Google Sans Text;sans-serif" w:hAnsi="Google Sans Text;sans-serif"/>
              </w:rPr>
              <w:t>2010-2024</w:t>
            </w:r>
            <w:r>
              <w:rPr>
                <w:rStyle w:val="Strong"/>
                <w:rFonts w:eastAsia="Google Sans Text;sans-serif"/>
              </w:rPr>
              <w:t>年化收益表现</w:t>
            </w:r>
          </w:p>
        </w:tc>
        <w:tc>
          <w:tcPr>
            <w:tcW w:w="296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0"/>
              <w:ind w:hanging="0" w:start="0" w:end="0"/>
              <w:jc w:val="start"/>
              <w:rPr/>
            </w:pPr>
            <w:r>
              <w:rPr>
                <w:rStyle w:val="Strong"/>
                <w:rFonts w:eastAsia="Google Sans Text;sans-serif"/>
              </w:rPr>
              <w:t>交易频率与策略特征</w:t>
            </w:r>
          </w:p>
        </w:tc>
      </w:tr>
      <w:tr>
        <w:trPr/>
        <w:tc>
          <w:tcPr>
            <w:tcW w:w="13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ascii="Google Sans Text;sans-serif" w:hAnsi="Google Sans Text;sans-serif"/>
                <w:b/>
              </w:rPr>
              <w:t>WSO (</w:t>
            </w:r>
            <w:r>
              <w:rPr>
                <w:rFonts w:eastAsia="Google Sans Text;sans-serif"/>
                <w:b/>
              </w:rPr>
              <w:t>数值映射法</w:t>
            </w:r>
            <w:r>
              <w:rPr>
                <w:rFonts w:ascii="Google Sans Text;sans-serif" w:hAnsi="Google Sans Text;sans-serif"/>
                <w:b/>
              </w:rPr>
              <w:t>)</w:t>
            </w:r>
          </w:p>
        </w:tc>
        <w:tc>
          <w:tcPr>
            <w:tcW w:w="3708"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将确定事件赋分，施加时间序列上的指数加权衰减，生成震荡趋势线</w:t>
            </w:r>
          </w:p>
        </w:tc>
        <w:tc>
          <w:tcPr>
            <w:tcW w:w="1622"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16.78%</w:t>
            </w:r>
          </w:p>
        </w:tc>
        <w:tc>
          <w:tcPr>
            <w:tcW w:w="296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eastAsia="Google Sans Text;sans-serif"/>
              </w:rPr>
              <w:t>年均</w:t>
            </w:r>
            <w:r>
              <w:rPr>
                <w:rFonts w:ascii="Google Sans Text;sans-serif" w:hAnsi="Google Sans Text;sans-serif"/>
              </w:rPr>
              <w:t>6-9</w:t>
            </w:r>
            <w:r>
              <w:rPr>
                <w:rFonts w:eastAsia="Google Sans Text;sans-serif"/>
              </w:rPr>
              <w:t>次，平滑过滤噪音，适合长线底仓配置</w:t>
            </w:r>
          </w:p>
        </w:tc>
      </w:tr>
      <w:tr>
        <w:trPr/>
        <w:tc>
          <w:tcPr>
            <w:tcW w:w="1345"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pPr>
            <w:r>
              <w:rPr>
                <w:rFonts w:ascii="Google Sans Text;sans-serif" w:hAnsi="Google Sans Text;sans-serif"/>
                <w:b/>
              </w:rPr>
              <w:t>WSS (</w:t>
            </w:r>
            <w:r>
              <w:rPr>
                <w:rFonts w:eastAsia="Google Sans Text;sans-serif"/>
                <w:b/>
              </w:rPr>
              <w:t>规律统计法</w:t>
            </w:r>
            <w:r>
              <w:rPr>
                <w:rFonts w:ascii="Google Sans Text;sans-serif" w:hAnsi="Google Sans Text;sans-serif"/>
                <w:b/>
              </w:rPr>
              <w:t>)</w:t>
            </w:r>
          </w:p>
        </w:tc>
        <w:tc>
          <w:tcPr>
            <w:tcW w:w="3708"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统计马尔可夫事件链的未来收益分布，基于历史胜率动态动态映射综合打分</w:t>
            </w:r>
          </w:p>
        </w:tc>
        <w:tc>
          <w:tcPr>
            <w:tcW w:w="1622"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25.04%</w:t>
            </w:r>
          </w:p>
        </w:tc>
        <w:tc>
          <w:tcPr>
            <w:tcW w:w="2963" w:type="dxa"/>
            <w:tcBorders>
              <w:top w:val="single" w:sz="2" w:space="0" w:color="C4C7C5"/>
              <w:start w:val="single" w:sz="2" w:space="0" w:color="C4C7C5"/>
              <w:bottom w:val="single" w:sz="2" w:space="0" w:color="C4C7C5"/>
              <w:end w:val="single" w:sz="2" w:space="0" w:color="C4C7C5"/>
            </w:tcBorders>
            <w:vAlign w:val="center"/>
          </w:tcPr>
          <w:p>
            <w:pPr>
              <w:pStyle w:val="Style17"/>
              <w:bidi w:val="0"/>
              <w:spacing w:lineRule="auto" w:line="273" w:before="0" w:after="140"/>
              <w:ind w:hanging="0" w:start="0" w:end="0"/>
              <w:jc w:val="start"/>
              <w:rPr>
                <w:rFonts w:eastAsia="Google Sans Text;sans-serif"/>
              </w:rPr>
            </w:pPr>
            <w:r>
              <w:rPr>
                <w:rFonts w:eastAsia="Google Sans Text;sans-serif"/>
              </w:rPr>
              <w:t>极高风险收益比，有效捕捉不对称反转爆发点，中线波段</w:t>
            </w:r>
          </w:p>
        </w:tc>
      </w:tr>
    </w:tbl>
    <w:p>
      <w:pPr>
        <w:pStyle w:val="Heading2"/>
        <w:bidi w:val="0"/>
        <w:spacing w:lineRule="auto" w:line="273" w:before="0" w:after="140"/>
        <w:ind w:hanging="0" w:start="0" w:end="0"/>
        <w:jc w:val="start"/>
        <w:rPr/>
      </w:pPr>
      <w:r>
        <w:rPr>
          <w:rFonts w:eastAsia="Google Sans;sans-serif"/>
        </w:rPr>
        <w:t>核心非对称收益形态“弹簧效应”（</w:t>
      </w:r>
      <w:r>
        <w:rPr>
          <w:rFonts w:ascii="Google Sans;sans-serif" w:hAnsi="Google Sans;sans-serif"/>
        </w:rPr>
        <w:t>Spring</w:t>
      </w:r>
      <w:r>
        <w:rPr>
          <w:rFonts w:eastAsia="Google Sans;sans-serif"/>
        </w:rPr>
        <w:t>）的算法特征工程与风控约束</w:t>
      </w:r>
    </w:p>
    <w:p>
      <w:pPr>
        <w:pStyle w:val="BodyText"/>
        <w:bidi w:val="0"/>
        <w:spacing w:lineRule="auto" w:line="273" w:before="0" w:after="140"/>
        <w:ind w:hanging="0" w:start="0" w:end="0"/>
        <w:jc w:val="start"/>
        <w:rPr/>
      </w:pPr>
      <w:bookmarkStart w:id="22" w:name="p-c_fa058463f8ed15a9_c68acc42-6019-44efm"/>
      <w:bookmarkEnd w:id="22"/>
      <w:r>
        <w:rPr>
          <w:rFonts w:eastAsia="Google Sans Text;sans-serif"/>
        </w:rPr>
        <w:t>在威科夫体系的所有事件中，发生在</w:t>
      </w:r>
      <w:r>
        <w:rPr>
          <w:rFonts w:ascii="Google Sans Text;sans-serif" w:hAnsi="Google Sans Text;sans-serif"/>
        </w:rPr>
        <w:t>C</w:t>
      </w:r>
      <w:r>
        <w:rPr>
          <w:rFonts w:eastAsia="Google Sans Text;sans-serif"/>
        </w:rPr>
        <w:t>阶段的弹簧效应（</w:t>
      </w:r>
      <w:r>
        <w:rPr>
          <w:rFonts w:ascii="Google Sans Text;sans-serif" w:hAnsi="Google Sans Text;sans-serif"/>
        </w:rPr>
        <w:t>Spring</w:t>
      </w:r>
      <w:r>
        <w:rPr>
          <w:rFonts w:eastAsia="Google Sans Text;sans-serif"/>
        </w:rPr>
        <w:t>）以及其对应的派发期形态“上冲回落”（</w:t>
      </w:r>
      <w:r>
        <w:rPr>
          <w:rFonts w:ascii="Google Sans Text;sans-serif" w:hAnsi="Google Sans Text;sans-serif"/>
        </w:rPr>
        <w:t>Upthrust</w:t>
      </w:r>
      <w:r>
        <w:rPr>
          <w:rFonts w:eastAsia="Google Sans Text;sans-serif"/>
        </w:rPr>
        <w:t>），是最受交易员追捧、最具实战爆发力的非对称博弈信号。</w:t>
      </w:r>
      <w:r>
        <w:rPr>
          <w:rFonts w:ascii="Google Sans Text;sans-serif" w:hAnsi="Google Sans Text;sans-serif"/>
        </w:rPr>
        <w:t>Spring</w:t>
      </w:r>
      <w:r>
        <w:rPr>
          <w:rFonts w:eastAsia="Google Sans Text;sans-serif"/>
        </w:rPr>
        <w:t>的本质是一次针对流动性的蓄意猎杀（</w:t>
      </w:r>
      <w:r>
        <w:rPr>
          <w:rFonts w:ascii="Google Sans Text;sans-serif" w:hAnsi="Google Sans Text;sans-serif"/>
        </w:rPr>
        <w:t>Liquidity Grab</w:t>
      </w:r>
      <w:r>
        <w:rPr>
          <w:rFonts w:eastAsia="Google Sans Text;sans-serif"/>
        </w:rPr>
        <w:t>）。当价格在漫长的区间震荡后，主力资金若准备发动主升浪，往往会先将价格砸破下方公认的坚固支撑线。这一破位行为会瞬间触发大量散户多头的止损单，同时吸引突破做空策略的算法进场。主力资金恰好利用这股庞大的抛盘作为交易对手盘，完成自己最后的大规模吸筹。随后价格未能形成实质性的跟进下跌（</w:t>
      </w:r>
      <w:r>
        <w:rPr>
          <w:rFonts w:ascii="Google Sans Text;sans-serif" w:hAnsi="Google Sans Text;sans-serif"/>
        </w:rPr>
        <w:t>Lack of follow-through</w:t>
      </w:r>
      <w:r>
        <w:rPr>
          <w:rFonts w:eastAsia="Google Sans Text;sans-serif"/>
        </w:rPr>
        <w:t>），反而迅速拉升回区间内，完成了一次完美的“</w:t>
      </w:r>
      <w:r>
        <w:rPr>
          <w:rFonts w:ascii="Google Sans Text;sans-serif" w:hAnsi="Google Sans Text;sans-serif"/>
        </w:rPr>
        <w:t>Range Break Fake”</w:t>
      </w:r>
      <w:r>
        <w:rPr>
          <w:rFonts w:eastAsia="Google Sans Text;sans-serif"/>
        </w:rPr>
        <w:t>。</w:t>
      </w:r>
    </w:p>
    <w:p>
      <w:pPr>
        <w:pStyle w:val="BodyText"/>
        <w:bidi w:val="0"/>
        <w:spacing w:lineRule="auto" w:line="273" w:before="0" w:after="140"/>
        <w:ind w:hanging="0" w:start="0" w:end="0"/>
        <w:jc w:val="start"/>
        <w:rPr/>
      </w:pPr>
      <w:r>
        <w:rPr>
          <w:rFonts w:eastAsia="Google Sans Text;sans-serif"/>
        </w:rPr>
        <w:t>在</w:t>
      </w:r>
      <w:r>
        <w:rPr>
          <w:rFonts w:ascii="Google Sans Text;sans-serif" w:hAnsi="Google Sans Text;sans-serif"/>
        </w:rPr>
        <w:t>Python</w:t>
      </w:r>
      <w:r>
        <w:rPr>
          <w:rFonts w:eastAsia="Google Sans Text;sans-serif"/>
        </w:rPr>
        <w:t>量化架构中，要开发一套稳定盈利的</w:t>
      </w:r>
      <w:r>
        <w:rPr>
          <w:rFonts w:ascii="Google Sans Text;sans-serif" w:hAnsi="Google Sans Text;sans-serif"/>
        </w:rPr>
        <w:t>Spring</w:t>
      </w:r>
      <w:r>
        <w:rPr>
          <w:rFonts w:eastAsia="Google Sans Text;sans-serif"/>
        </w:rPr>
        <w:t>检测算法，必须满足极其严格的特征工程与结构条件限制，以过滤掉真实的破位风险。</w:t>
      </w:r>
    </w:p>
    <w:p>
      <w:pPr>
        <w:pStyle w:val="BodyText"/>
        <w:bidi w:val="0"/>
        <w:spacing w:lineRule="auto" w:line="273" w:before="0" w:after="140"/>
        <w:ind w:hanging="0" w:start="0" w:end="0"/>
        <w:jc w:val="start"/>
        <w:rPr/>
      </w:pPr>
      <w:bookmarkStart w:id="23" w:name="p-c_fa058463f8ed15a9_c68acc42-6019-44efn"/>
      <w:bookmarkEnd w:id="23"/>
      <w:r>
        <w:rPr>
          <w:rFonts w:ascii="Google Sans Text;sans-serif" w:hAnsi="Google Sans Text;sans-serif"/>
          <w:b/>
        </w:rPr>
        <w:t xml:space="preserve">1. </w:t>
      </w:r>
      <w:r>
        <w:rPr>
          <w:rFonts w:eastAsia="Google Sans Text;sans-serif"/>
          <w:b/>
        </w:rPr>
        <w:t>尾部形态要求（</w:t>
      </w:r>
      <w:r>
        <w:rPr>
          <w:rFonts w:ascii="Google Sans Text;sans-serif" w:hAnsi="Google Sans Text;sans-serif"/>
          <w:b/>
        </w:rPr>
        <w:t>The Importance of Main Tails &amp; Closing Price</w:t>
      </w:r>
      <w:r>
        <w:rPr>
          <w:rFonts w:eastAsia="Google Sans Text;sans-serif"/>
          <w:b/>
        </w:rPr>
        <w:t>）</w:t>
      </w:r>
      <w:r>
        <w:rPr>
          <w:rFonts w:eastAsia="Google Sans Text;sans-serif"/>
        </w:rPr>
        <w:t xml:space="preserve"> 一个有效的</w:t>
      </w:r>
      <w:r>
        <w:rPr>
          <w:rFonts w:ascii="Google Sans Text;sans-serif" w:hAnsi="Google Sans Text;sans-serif"/>
        </w:rPr>
        <w:t>Spring</w:t>
      </w:r>
      <w:r>
        <w:rPr>
          <w:rFonts w:eastAsia="Google Sans Text;sans-serif"/>
        </w:rPr>
        <w:t>形态必须在日</w:t>
      </w:r>
      <w:r>
        <w:rPr>
          <w:rFonts w:ascii="Google Sans Text;sans-serif" w:hAnsi="Google Sans Text;sans-serif"/>
        </w:rPr>
        <w:t>K</w:t>
      </w:r>
      <w:r>
        <w:rPr>
          <w:rFonts w:eastAsia="Google Sans Text;sans-serif"/>
        </w:rPr>
        <w:t>线上展现出显著的下影线（</w:t>
      </w:r>
      <w:r>
        <w:rPr>
          <w:rFonts w:ascii="Google Sans Text;sans-serif" w:hAnsi="Google Sans Text;sans-serif"/>
        </w:rPr>
        <w:t>Main Tails</w:t>
      </w:r>
      <w:r>
        <w:rPr>
          <w:rFonts w:eastAsia="Google Sans Text;sans-serif"/>
        </w:rPr>
        <w:t>）。如果破位当天的</w:t>
      </w:r>
      <w:r>
        <w:rPr>
          <w:rFonts w:ascii="Google Sans Text;sans-serif" w:hAnsi="Google Sans Text;sans-serif"/>
        </w:rPr>
        <w:t>K</w:t>
      </w:r>
      <w:r>
        <w:rPr>
          <w:rFonts w:eastAsia="Google Sans Text;sans-serif"/>
        </w:rPr>
        <w:t>线以最低点或极低点附近收盘，表明空方力量彻底掌控了全天局势，没有任何买盘承接，这种情形绝对不能被系统识别为</w:t>
      </w:r>
      <w:r>
        <w:rPr>
          <w:rFonts w:ascii="Google Sans Text;sans-serif" w:hAnsi="Google Sans Text;sans-serif"/>
        </w:rPr>
        <w:t>Spring</w:t>
      </w:r>
      <w:r>
        <w:rPr>
          <w:rFonts w:eastAsia="Google Sans Text;sans-serif"/>
        </w:rPr>
        <w:t>。 在代码层面，这通常通过计算收盘位置的比率来实现。算法需衡量价格自最低点反弹的幅度相对于全天真实波幅（</w:t>
      </w:r>
      <w:r>
        <w:rPr>
          <w:rFonts w:ascii="Google Sans Text;sans-serif" w:hAnsi="Google Sans Text;sans-serif"/>
        </w:rPr>
        <w:t>True Range</w:t>
      </w:r>
      <w:r>
        <w:rPr>
          <w:rFonts w:eastAsia="Google Sans Text;sans-serif"/>
        </w:rPr>
        <w:t>）的比例。虽然威科夫大师指出，有时即便收盘价略低于日内振幅的</w:t>
      </w:r>
      <w:r>
        <w:rPr>
          <w:rFonts w:ascii="Google Sans Text;sans-serif" w:hAnsi="Google Sans Text;sans-serif"/>
        </w:rPr>
        <w:t>50%</w:t>
      </w:r>
      <w:r>
        <w:rPr>
          <w:rFonts w:eastAsia="Google Sans Text;sans-serif"/>
        </w:rPr>
        <w:t>，只要其整体结构依然维持在宏观支撑区间的合理偏离内，仍有可能是合法的</w:t>
      </w:r>
      <w:r>
        <w:rPr>
          <w:rFonts w:ascii="Google Sans Text;sans-serif" w:hAnsi="Google Sans Text;sans-serif"/>
        </w:rPr>
        <w:t>Spring</w:t>
      </w:r>
      <w:r>
        <w:rPr>
          <w:rFonts w:eastAsia="Google Sans Text;sans-serif"/>
        </w:rPr>
        <w:t>，但下影线的存在是不可妥协的硬性指标。</w:t>
      </w:r>
    </w:p>
    <w:p>
      <w:pPr>
        <w:pStyle w:val="BodyText"/>
        <w:bidi w:val="0"/>
        <w:spacing w:lineRule="auto" w:line="273" w:before="0" w:after="140"/>
        <w:ind w:hanging="0" w:start="0" w:end="0"/>
        <w:jc w:val="start"/>
        <w:rPr/>
      </w:pPr>
      <w:r>
        <w:rPr>
          <w:rFonts w:ascii="Google Sans Text;sans-serif" w:hAnsi="Google Sans Text;sans-serif"/>
          <w:b/>
        </w:rPr>
        <w:t xml:space="preserve">2. </w:t>
      </w:r>
      <w:r>
        <w:rPr>
          <w:rFonts w:eastAsia="Google Sans Text;sans-serif"/>
          <w:b/>
        </w:rPr>
        <w:t>成交量验证机制（</w:t>
      </w:r>
      <w:r>
        <w:rPr>
          <w:rFonts w:ascii="Google Sans Text;sans-serif" w:hAnsi="Google Sans Text;sans-serif"/>
          <w:b/>
        </w:rPr>
        <w:t>Volume Confirmation</w:t>
      </w:r>
      <w:r>
        <w:rPr>
          <w:rFonts w:eastAsia="Google Sans Text;sans-serif"/>
          <w:b/>
        </w:rPr>
        <w:t>）</w:t>
      </w:r>
      <w:r>
        <w:rPr>
          <w:rFonts w:eastAsia="Google Sans Text;sans-serif"/>
        </w:rPr>
        <w:t xml:space="preserve"> 成交量是验证</w:t>
      </w:r>
      <w:r>
        <w:rPr>
          <w:rFonts w:ascii="Google Sans Text;sans-serif" w:hAnsi="Google Sans Text;sans-serif"/>
        </w:rPr>
        <w:t>Spring</w:t>
      </w:r>
      <w:r>
        <w:rPr>
          <w:rFonts w:eastAsia="Google Sans Text;sans-serif"/>
        </w:rPr>
        <w:t>真实性的灵魂。</w:t>
      </w:r>
      <w:r>
        <w:rPr>
          <w:rFonts w:ascii="Google Sans Text;sans-serif" w:hAnsi="Google Sans Text;sans-serif"/>
        </w:rPr>
        <w:t>Spring</w:t>
      </w:r>
      <w:r>
        <w:rPr>
          <w:rFonts w:eastAsia="Google Sans Text;sans-serif"/>
        </w:rPr>
        <w:t>根据量能表现通常分为三类：</w:t>
      </w:r>
    </w:p>
    <w:p>
      <w:pPr>
        <w:pStyle w:val="BodyText"/>
        <w:numPr>
          <w:ilvl w:val="0"/>
          <w:numId w:val="3"/>
        </w:numPr>
        <w:pBdr/>
        <w:tabs>
          <w:tab w:val="clear" w:pos="420"/>
          <w:tab w:val="left" w:pos="709" w:leader="none"/>
        </w:tabs>
        <w:bidi w:val="0"/>
        <w:spacing w:lineRule="auto" w:line="273" w:before="0" w:after="140"/>
        <w:ind w:hanging="283" w:start="709" w:end="0"/>
        <w:jc w:val="start"/>
        <w:rPr/>
      </w:pPr>
      <w:bookmarkStart w:id="24" w:name="p-c_fa058463f8ed15a9_c68acc42-6019-44efo"/>
      <w:bookmarkEnd w:id="24"/>
      <w:r>
        <w:rPr>
          <w:rFonts w:ascii="Google Sans Text;sans-serif" w:hAnsi="Google Sans Text;sans-serif"/>
          <w:b/>
        </w:rPr>
        <w:t>Type 1 (</w:t>
      </w:r>
      <w:r>
        <w:rPr>
          <w:rFonts w:eastAsia="Google Sans Text;sans-serif"/>
          <w:b/>
        </w:rPr>
        <w:t>大成交量</w:t>
      </w:r>
      <w:r>
        <w:rPr>
          <w:rFonts w:ascii="Google Sans Text;sans-serif" w:hAnsi="Google Sans Text;sans-serif"/>
          <w:b/>
        </w:rPr>
        <w:t>)</w:t>
      </w:r>
      <w:r>
        <w:rPr>
          <w:rFonts w:eastAsia="Google Sans Text;sans-serif"/>
        </w:rPr>
        <w:t>：破位伴随历史天量，说明抛压仍然极其沉重。威科夫理论明确警告，遇到大级别放量的</w:t>
      </w:r>
      <w:r>
        <w:rPr>
          <w:rFonts w:ascii="Google Sans Text;sans-serif" w:hAnsi="Google Sans Text;sans-serif"/>
        </w:rPr>
        <w:t>Spring</w:t>
      </w:r>
      <w:r>
        <w:rPr>
          <w:rFonts w:eastAsia="Google Sans Text;sans-serif"/>
        </w:rPr>
        <w:t>，必须等待价格反弹后的再次回踩测试（</w:t>
      </w:r>
      <w:r>
        <w:rPr>
          <w:rFonts w:ascii="Google Sans Text;sans-serif" w:hAnsi="Google Sans Text;sans-serif"/>
        </w:rPr>
        <w:t>Secondary Test</w:t>
      </w:r>
      <w:r>
        <w:rPr>
          <w:rFonts w:eastAsia="Google Sans Text;sans-serif"/>
        </w:rPr>
        <w:t>），确认测试时量能大幅萎缩后方可介入。</w:t>
      </w:r>
    </w:p>
    <w:p>
      <w:pPr>
        <w:pStyle w:val="BodyText"/>
        <w:numPr>
          <w:ilvl w:val="0"/>
          <w:numId w:val="3"/>
        </w:numPr>
        <w:pBdr/>
        <w:tabs>
          <w:tab w:val="clear" w:pos="420"/>
          <w:tab w:val="left" w:pos="709" w:leader="none"/>
        </w:tabs>
        <w:bidi w:val="0"/>
        <w:spacing w:lineRule="auto" w:line="273" w:before="0" w:after="140"/>
        <w:ind w:hanging="283" w:start="709" w:end="0"/>
        <w:jc w:val="start"/>
        <w:rPr/>
      </w:pPr>
      <w:r>
        <w:rPr>
          <w:rFonts w:ascii="Google Sans Text;sans-serif" w:hAnsi="Google Sans Text;sans-serif"/>
          <w:b/>
        </w:rPr>
        <w:t>Type 2 (</w:t>
      </w:r>
      <w:r>
        <w:rPr>
          <w:rFonts w:eastAsia="Google Sans Text;sans-serif"/>
          <w:b/>
        </w:rPr>
        <w:t>中等成交量</w:t>
      </w:r>
      <w:r>
        <w:rPr>
          <w:rFonts w:ascii="Google Sans Text;sans-serif" w:hAnsi="Google Sans Text;sans-serif"/>
          <w:b/>
        </w:rPr>
        <w:t>)</w:t>
      </w:r>
      <w:r>
        <w:rPr>
          <w:rFonts w:eastAsia="Google Sans Text;sans-serif"/>
        </w:rPr>
        <w:t>：温和放量刺穿支撑，并在短时间内缩量收回，这可以直接作为初始建仓信号。</w:t>
      </w:r>
    </w:p>
    <w:p>
      <w:pPr>
        <w:pStyle w:val="BodyText"/>
        <w:numPr>
          <w:ilvl w:val="0"/>
          <w:numId w:val="3"/>
        </w:numPr>
        <w:pBdr/>
        <w:tabs>
          <w:tab w:val="clear" w:pos="420"/>
          <w:tab w:val="left" w:pos="709" w:leader="none"/>
        </w:tabs>
        <w:bidi w:val="0"/>
        <w:spacing w:lineRule="auto" w:line="273" w:before="0" w:after="140"/>
        <w:ind w:hanging="283" w:start="709" w:end="0"/>
        <w:jc w:val="start"/>
        <w:rPr/>
      </w:pPr>
      <w:bookmarkStart w:id="25" w:name="p-c_fa058463f8ed15a9_c68acc42-6019-44efp"/>
      <w:bookmarkEnd w:id="25"/>
      <w:r>
        <w:rPr>
          <w:rFonts w:ascii="Google Sans Text;sans-serif" w:hAnsi="Google Sans Text;sans-serif"/>
          <w:b/>
        </w:rPr>
        <w:t>Type 3 (</w:t>
      </w:r>
      <w:r>
        <w:rPr>
          <w:rFonts w:eastAsia="Google Sans Text;sans-serif"/>
          <w:b/>
        </w:rPr>
        <w:t>极度缩量</w:t>
      </w:r>
      <w:r>
        <w:rPr>
          <w:rFonts w:ascii="Google Sans Text;sans-serif" w:hAnsi="Google Sans Text;sans-serif"/>
          <w:b/>
        </w:rPr>
        <w:t>)</w:t>
      </w:r>
      <w:r>
        <w:rPr>
          <w:rFonts w:eastAsia="Google Sans Text;sans-serif"/>
        </w:rPr>
        <w:t>：价格跌破支撑却几乎没有引发任何成交量放大，这表明市场上的浮动筹码已被彻底洗尽，无人愿意在更低的价格抛售。这是最强烈的即时买入信号。 对于</w:t>
      </w:r>
      <w:r>
        <w:rPr>
          <w:rFonts w:ascii="Google Sans Text;sans-serif" w:hAnsi="Google Sans Text;sans-serif"/>
        </w:rPr>
        <w:t>A</w:t>
      </w:r>
      <w:r>
        <w:rPr>
          <w:rFonts w:eastAsia="Google Sans Text;sans-serif"/>
        </w:rPr>
        <w:t>股数据的处理，系统不仅需要对比日线级别的绝对成交量，更应引入相对成交量检查（</w:t>
      </w:r>
      <w:r>
        <w:rPr>
          <w:rFonts w:ascii="Google Sans Text;sans-serif" w:hAnsi="Google Sans Text;sans-serif"/>
        </w:rPr>
        <w:t>Relative Volume Check</w:t>
      </w:r>
      <w:r>
        <w:rPr>
          <w:rFonts w:eastAsia="Google Sans Text;sans-serif"/>
        </w:rPr>
        <w:t>）。例如，将刺穿支撑位时的局部相对量能与回拉时的相对量能进行对比，或者对于具备</w:t>
      </w:r>
      <w:r>
        <w:rPr>
          <w:rFonts w:ascii="Google Sans Text;sans-serif" w:hAnsi="Google Sans Text;sans-serif"/>
        </w:rPr>
        <w:t>Tick</w:t>
      </w:r>
      <w:r>
        <w:rPr>
          <w:rFonts w:eastAsia="Google Sans Text;sans-serif"/>
        </w:rPr>
        <w:t>级或分钟级数据的系统，引入</w:t>
      </w:r>
      <w:r>
        <w:rPr>
          <w:rFonts w:ascii="Google Sans Text;sans-serif" w:hAnsi="Google Sans Text;sans-serif"/>
        </w:rPr>
        <w:t>1</w:t>
      </w:r>
      <w:r>
        <w:rPr>
          <w:rFonts w:eastAsia="Google Sans Text;sans-serif"/>
        </w:rPr>
        <w:t>分钟级别的相对成交量骤增检测，以捕捉盘中真实的机构资金异动痕迹。</w:t>
      </w:r>
    </w:p>
    <w:p>
      <w:pPr>
        <w:pStyle w:val="BodyText"/>
        <w:bidi w:val="0"/>
        <w:spacing w:lineRule="auto" w:line="273" w:before="0" w:after="140"/>
        <w:ind w:hanging="0" w:start="0" w:end="0"/>
        <w:jc w:val="start"/>
        <w:rPr/>
      </w:pPr>
      <w:bookmarkStart w:id="26" w:name="p-c_fa058463f8ed15a9_c68acc42-6019-44efq"/>
      <w:bookmarkEnd w:id="26"/>
      <w:r>
        <w:rPr>
          <w:rFonts w:ascii="Google Sans Text;sans-serif" w:hAnsi="Google Sans Text;sans-serif"/>
          <w:b/>
        </w:rPr>
        <w:t xml:space="preserve">3. </w:t>
      </w:r>
      <w:r>
        <w:rPr>
          <w:rFonts w:eastAsia="Google Sans Text;sans-serif"/>
          <w:b/>
        </w:rPr>
        <w:t>严格的风控距离约束（</w:t>
      </w:r>
      <w:r>
        <w:rPr>
          <w:rFonts w:ascii="Google Sans Text;sans-serif" w:hAnsi="Google Sans Text;sans-serif"/>
          <w:b/>
        </w:rPr>
        <w:t>Risk Management &amp; Stop Loss Challenges</w:t>
      </w:r>
      <w:r>
        <w:rPr>
          <w:rFonts w:eastAsia="Google Sans Text;sans-serif"/>
          <w:b/>
        </w:rPr>
        <w:t>）</w:t>
      </w:r>
      <w:r>
        <w:rPr>
          <w:rFonts w:eastAsia="Google Sans Text;sans-serif"/>
        </w:rPr>
        <w:t xml:space="preserve"> 任何策略都无法保证</w:t>
      </w:r>
      <w:r>
        <w:rPr>
          <w:rFonts w:ascii="Google Sans Text;sans-serif" w:hAnsi="Google Sans Text;sans-serif"/>
        </w:rPr>
        <w:t>100%</w:t>
      </w:r>
      <w:r>
        <w:rPr>
          <w:rFonts w:eastAsia="Google Sans Text;sans-serif"/>
        </w:rPr>
        <w:t>胜率。威科夫</w:t>
      </w:r>
      <w:r>
        <w:rPr>
          <w:rFonts w:ascii="Google Sans Text;sans-serif" w:hAnsi="Google Sans Text;sans-serif"/>
        </w:rPr>
        <w:t>Spring</w:t>
      </w:r>
      <w:r>
        <w:rPr>
          <w:rFonts w:eastAsia="Google Sans Text;sans-serif"/>
        </w:rPr>
        <w:t>策略天然的优势在于其明确的止损点——即破位</w:t>
      </w:r>
      <w:r>
        <w:rPr>
          <w:rFonts w:ascii="Google Sans Text;sans-serif" w:hAnsi="Google Sans Text;sans-serif"/>
        </w:rPr>
        <w:t>K</w:t>
      </w:r>
      <w:r>
        <w:rPr>
          <w:rFonts w:eastAsia="Google Sans Text;sans-serif"/>
        </w:rPr>
        <w:t>线的绝对最低点下方。然而，在算法设计中，必须监控连续低点之间的绝对距离。如果</w:t>
      </w:r>
      <w:r>
        <w:rPr>
          <w:rFonts w:ascii="Google Sans Text;sans-serif" w:hAnsi="Google Sans Text;sans-serif"/>
        </w:rPr>
        <w:t>Spring</w:t>
      </w:r>
      <w:r>
        <w:rPr>
          <w:rFonts w:eastAsia="Google Sans Text;sans-serif"/>
        </w:rPr>
        <w:t>的最低点距离上方的有效结构支撑位过远（例如产生超过</w:t>
      </w:r>
      <w:r>
        <w:rPr>
          <w:rFonts w:ascii="Google Sans Text;sans-serif" w:hAnsi="Google Sans Text;sans-serif"/>
        </w:rPr>
        <w:t>10%</w:t>
      </w:r>
      <w:r>
        <w:rPr>
          <w:rFonts w:eastAsia="Google Sans Text;sans-serif"/>
        </w:rPr>
        <w:t>的深度跌幅或连续跌停板破位），算法必须将其判定为无效信号。因为过大的敞口距离意味着初始止损区间过于宽泛，完全破坏了单笔交易的风险期望值（</w:t>
      </w:r>
      <w:r>
        <w:rPr>
          <w:rFonts w:ascii="Google Sans Text;sans-serif" w:hAnsi="Google Sans Text;sans-serif"/>
        </w:rPr>
        <w:t>Risk/Reward</w:t>
      </w:r>
      <w:r>
        <w:rPr>
          <w:rFonts w:eastAsia="Google Sans Text;sans-serif"/>
        </w:rPr>
        <w:t>），将给整体投资组合带来无法承受的尾部风险暴露。</w:t>
      </w:r>
    </w:p>
    <w:p>
      <w:pPr>
        <w:pStyle w:val="Heading2"/>
        <w:bidi w:val="0"/>
        <w:spacing w:lineRule="auto" w:line="273" w:before="0" w:after="140"/>
        <w:ind w:hanging="0" w:start="0" w:end="0"/>
        <w:jc w:val="start"/>
        <w:rPr>
          <w:rFonts w:eastAsia="Google Sans;sans-serif"/>
        </w:rPr>
      </w:pPr>
      <w:r>
        <w:rPr>
          <w:rFonts w:eastAsia="Google Sans;sans-serif"/>
        </w:rPr>
        <w:t>人工智能与强化学习在威科夫决策闭环中的升维与应用探索</w:t>
      </w:r>
    </w:p>
    <w:p>
      <w:pPr>
        <w:pStyle w:val="BodyText"/>
        <w:bidi w:val="0"/>
        <w:spacing w:lineRule="auto" w:line="273" w:before="0" w:after="140"/>
        <w:ind w:hanging="0" w:start="0" w:end="0"/>
        <w:jc w:val="start"/>
        <w:rPr/>
      </w:pPr>
      <w:bookmarkStart w:id="27" w:name="p-c_fa058463f8ed15a9_c68acc42-6019-44efr"/>
      <w:bookmarkEnd w:id="27"/>
      <w:r>
        <w:rPr>
          <w:rFonts w:eastAsia="Google Sans Text;sans-serif"/>
        </w:rPr>
        <w:t>尽管概率云和基于规则的事件驱动系统已经取得了显著成效，但随着现代计算范式的演进，将基于规则的威科夫量化架构与前沿的人工智能（</w:t>
      </w:r>
      <w:r>
        <w:rPr>
          <w:rFonts w:ascii="Google Sans Text;sans-serif" w:hAnsi="Google Sans Text;sans-serif"/>
        </w:rPr>
        <w:t>AI</w:t>
      </w:r>
      <w:r>
        <w:rPr>
          <w:rFonts w:eastAsia="Google Sans Text;sans-serif"/>
        </w:rPr>
        <w:t>）及强化学习（</w:t>
      </w:r>
      <w:r>
        <w:rPr>
          <w:rFonts w:ascii="Google Sans Text;sans-serif" w:hAnsi="Google Sans Text;sans-serif"/>
        </w:rPr>
        <w:t>RL</w:t>
      </w:r>
      <w:r>
        <w:rPr>
          <w:rFonts w:eastAsia="Google Sans Text;sans-serif"/>
        </w:rPr>
        <w:t>）相融合，正在开启金融资产定价分析的新纪元。</w:t>
      </w:r>
    </w:p>
    <w:p>
      <w:pPr>
        <w:pStyle w:val="BodyText"/>
        <w:bidi w:val="0"/>
        <w:spacing w:lineRule="auto" w:line="273" w:before="0" w:after="140"/>
        <w:ind w:hanging="0" w:start="0" w:end="0"/>
        <w:jc w:val="start"/>
        <w:rPr/>
      </w:pPr>
      <w:bookmarkStart w:id="28" w:name="p-c_fa058463f8ed15a9_c68acc42-6019-44efs"/>
      <w:bookmarkEnd w:id="28"/>
      <w:r>
        <w:rPr>
          <w:rFonts w:ascii="Google Sans Text;sans-serif" w:hAnsi="Google Sans Text;sans-serif"/>
        </w:rPr>
        <w:t>A</w:t>
      </w:r>
      <w:r>
        <w:rPr>
          <w:rFonts w:eastAsia="Google Sans Text;sans-serif"/>
        </w:rPr>
        <w:t>股市场的价量时间序列本质上是一种非平稳的、包含巨量噪音的高维时空数据。传统量化指标难以完美描述威科夫图表中所蕴含的空间几何之美与时间跨度之长。为此，混合深度神经网络（</w:t>
      </w:r>
      <w:r>
        <w:rPr>
          <w:rFonts w:ascii="Google Sans Text;sans-serif" w:hAnsi="Google Sans Text;sans-serif"/>
        </w:rPr>
        <w:t>Deep Neural Networks</w:t>
      </w:r>
      <w:r>
        <w:rPr>
          <w:rFonts w:eastAsia="Google Sans Text;sans-serif"/>
        </w:rPr>
        <w:t>）架构成为了特征提取的最优解。 研究表明，可以将历史价量时间序列通过格拉姆角场（</w:t>
      </w:r>
      <w:r>
        <w:rPr>
          <w:rFonts w:ascii="Google Sans Text;sans-serif" w:hAnsi="Google Sans Text;sans-serif"/>
        </w:rPr>
        <w:t>Gramian Angular Field, GAF</w:t>
      </w:r>
      <w:r>
        <w:rPr>
          <w:rFonts w:eastAsia="Google Sans Text;sans-serif"/>
        </w:rPr>
        <w:t>）等数学变换转换为二维图像矩阵，随后利用卷积神经网络（</w:t>
      </w:r>
      <w:r>
        <w:rPr>
          <w:rFonts w:ascii="Google Sans Text;sans-serif" w:hAnsi="Google Sans Text;sans-serif"/>
        </w:rPr>
        <w:t>CNN</w:t>
      </w:r>
      <w:r>
        <w:rPr>
          <w:rFonts w:eastAsia="Google Sans Text;sans-serif"/>
        </w:rPr>
        <w:t>）对这些图像进行卷积操作，以极高的敏锐度提取威科夫形态（如阶段性震荡、阻力线压缩等）的空间纹理特征。同时，并联使用长短期记忆网络（</w:t>
      </w:r>
      <w:r>
        <w:rPr>
          <w:rFonts w:ascii="Google Sans Text;sans-serif" w:hAnsi="Google Sans Text;sans-serif"/>
        </w:rPr>
        <w:t>LSTM</w:t>
      </w:r>
      <w:r>
        <w:rPr>
          <w:rFonts w:eastAsia="Google Sans Text;sans-serif"/>
        </w:rPr>
        <w:t>），专门用于捕捉时间维度的序列依赖性，这完美契合了威科夫因果法则中“长期能量蓄积”的长期记忆效应。在网络的最后输出层，通过</w:t>
      </w:r>
      <w:r>
        <w:rPr>
          <w:rFonts w:ascii="Google Sans Text;sans-serif" w:hAnsi="Google Sans Text;sans-serif"/>
        </w:rPr>
        <w:t>Sigmoid</w:t>
      </w:r>
      <w:r>
        <w:rPr>
          <w:rFonts w:eastAsia="Google Sans Text;sans-serif"/>
        </w:rPr>
        <w:t>或</w:t>
      </w:r>
      <w:r>
        <w:rPr>
          <w:rFonts w:ascii="Google Sans Text;sans-serif" w:hAnsi="Google Sans Text;sans-serif"/>
        </w:rPr>
        <w:t>Softmax</w:t>
      </w:r>
      <w:r>
        <w:rPr>
          <w:rFonts w:eastAsia="Google Sans Text;sans-serif"/>
        </w:rPr>
        <w:t>激活函数，将复杂的网络计算结果平滑地映射为</w:t>
      </w:r>
      <w:r>
        <w:rPr>
          <w:rFonts w:ascii="Google Sans Text;sans-serif" w:hAnsi="Google Sans Text;sans-serif"/>
        </w:rPr>
        <w:t>0</w:t>
      </w:r>
      <w:r>
        <w:rPr>
          <w:rFonts w:eastAsia="Google Sans Text;sans-serif"/>
        </w:rPr>
        <w:t>到</w:t>
      </w:r>
      <w:r>
        <w:rPr>
          <w:rFonts w:ascii="Google Sans Text;sans-serif" w:hAnsi="Google Sans Text;sans-serif"/>
        </w:rPr>
        <w:t>1</w:t>
      </w:r>
      <w:r>
        <w:rPr>
          <w:rFonts w:eastAsia="Google Sans Text;sans-serif"/>
        </w:rPr>
        <w:t>之间的概率值，这就为前文提到的“概率云似然度”提供了最强大的算力支撑。实证测试表明，将机器学习引入威科夫特征提取后，弹簧效应（</w:t>
      </w:r>
      <w:r>
        <w:rPr>
          <w:rFonts w:ascii="Google Sans Text;sans-serif" w:hAnsi="Google Sans Text;sans-serif"/>
        </w:rPr>
        <w:t>Spring</w:t>
      </w:r>
      <w:r>
        <w:rPr>
          <w:rFonts w:eastAsia="Google Sans Text;sans-serif"/>
        </w:rPr>
        <w:t>）信号判定的成功率被大幅提升至</w:t>
      </w:r>
      <w:r>
        <w:rPr>
          <w:rFonts w:ascii="Google Sans Text;sans-serif" w:hAnsi="Google Sans Text;sans-serif"/>
        </w:rPr>
        <w:t>72%</w:t>
      </w:r>
      <w:r>
        <w:rPr>
          <w:rFonts w:eastAsia="Google Sans Text;sans-serif"/>
        </w:rPr>
        <w:t>。</w:t>
      </w:r>
    </w:p>
    <w:p>
      <w:pPr>
        <w:pStyle w:val="BodyText"/>
        <w:bidi w:val="0"/>
        <w:spacing w:lineRule="auto" w:line="273" w:before="0" w:after="140"/>
        <w:ind w:hanging="0" w:start="0" w:end="0"/>
        <w:jc w:val="start"/>
        <w:rPr/>
      </w:pPr>
      <w:bookmarkStart w:id="29" w:name="p-c_fa058463f8ed15a9_c68acc42-6019-44eft"/>
      <w:bookmarkEnd w:id="29"/>
      <w:r>
        <w:rPr>
          <w:rFonts w:eastAsia="Google Sans Text;sans-serif"/>
        </w:rPr>
        <w:t>在策略执行和仓位管理的决策闭环中，强化学习（</w:t>
      </w:r>
      <w:r>
        <w:rPr>
          <w:rFonts w:ascii="Google Sans Text;sans-serif" w:hAnsi="Google Sans Text;sans-serif"/>
        </w:rPr>
        <w:t>Reinforcement Learning</w:t>
      </w:r>
      <w:r>
        <w:rPr>
          <w:rFonts w:eastAsia="Google Sans Text;sans-serif"/>
        </w:rPr>
        <w:t>）算法，特别是</w:t>
      </w:r>
      <w:r>
        <w:rPr>
          <w:rFonts w:ascii="Google Sans Text;sans-serif" w:hAnsi="Google Sans Text;sans-serif"/>
        </w:rPr>
        <w:t>Q-learning</w:t>
      </w:r>
      <w:r>
        <w:rPr>
          <w:rFonts w:eastAsia="Google Sans Text;sans-serif"/>
        </w:rPr>
        <w:t>模型，展现出了无与伦比的自适应能力。在一个典型的威科夫强化学习交易智能体（</w:t>
      </w:r>
      <w:r>
        <w:rPr>
          <w:rFonts w:ascii="Google Sans Text;sans-serif" w:hAnsi="Google Sans Text;sans-serif"/>
        </w:rPr>
        <w:t>Trading Agent</w:t>
      </w:r>
      <w:r>
        <w:rPr>
          <w:rFonts w:eastAsia="Google Sans Text;sans-serif"/>
        </w:rPr>
        <w:t>）环境中：</w:t>
      </w:r>
    </w:p>
    <w:p>
      <w:pPr>
        <w:pStyle w:val="BodyText"/>
        <w:numPr>
          <w:ilvl w:val="0"/>
          <w:numId w:val="4"/>
        </w:numPr>
        <w:pBdr/>
        <w:tabs>
          <w:tab w:val="clear" w:pos="420"/>
          <w:tab w:val="left" w:pos="709" w:leader="none"/>
        </w:tabs>
        <w:bidi w:val="0"/>
        <w:spacing w:lineRule="auto" w:line="273" w:before="0" w:after="140"/>
        <w:ind w:hanging="283" w:start="709" w:end="0"/>
        <w:jc w:val="start"/>
        <w:rPr/>
      </w:pPr>
      <w:bookmarkStart w:id="30" w:name="p-c_fa058463f8ed15a9_c68acc42-6019-44efu"/>
      <w:bookmarkEnd w:id="30"/>
      <w:r>
        <w:rPr>
          <w:rFonts w:eastAsia="Google Sans Text;sans-serif"/>
          <w:b/>
        </w:rPr>
        <w:t>状态空间（</w:t>
      </w:r>
      <w:r>
        <w:rPr>
          <w:rFonts w:ascii="Google Sans Text;sans-serif" w:hAnsi="Google Sans Text;sans-serif"/>
          <w:b/>
        </w:rPr>
        <w:t>State Space</w:t>
      </w:r>
      <w:r>
        <w:rPr>
          <w:rFonts w:eastAsia="Google Sans Text;sans-serif"/>
          <w:b/>
        </w:rPr>
        <w:t>）的构建</w:t>
      </w:r>
      <w:r>
        <w:rPr>
          <w:rFonts w:eastAsia="Google Sans Text;sans-serif"/>
        </w:rPr>
        <w:t>：智能体所感知的环境状态不仅包括离散化（</w:t>
      </w:r>
      <w:r>
        <w:rPr>
          <w:rFonts w:ascii="Google Sans Text;sans-serif" w:hAnsi="Google Sans Text;sans-serif"/>
        </w:rPr>
        <w:t>Discretized/Binned</w:t>
      </w:r>
      <w:r>
        <w:rPr>
          <w:rFonts w:eastAsia="Google Sans Text;sans-serif"/>
        </w:rPr>
        <w:t>）的连续价格水平与当前的持仓头寸（</w:t>
      </w:r>
      <w:r>
        <w:rPr>
          <w:rFonts w:ascii="Google Sans Text;sans-serif" w:hAnsi="Google Sans Text;sans-serif"/>
        </w:rPr>
        <w:t>Holding/Not Holding</w:t>
      </w:r>
      <w:r>
        <w:rPr>
          <w:rFonts w:eastAsia="Google Sans Text;sans-serif"/>
        </w:rPr>
        <w:t>），更核心的是融入了威科夫专属状态。例如：当前处于四大阶段（积累、拉升、派发、下跌）的概率向量、</w:t>
      </w:r>
      <w:r>
        <w:rPr>
          <w:rFonts w:ascii="Google Sans Text;sans-serif" w:hAnsi="Google Sans Text;sans-serif"/>
        </w:rPr>
        <w:t>P&amp;F</w:t>
      </w:r>
      <w:r>
        <w:rPr>
          <w:rFonts w:eastAsia="Google Sans Text;sans-serif"/>
        </w:rPr>
        <w:t>点数图计算的目标空间余量、相对强度比率，以及周线与月线维度的共振趋势指标。</w:t>
      </w:r>
    </w:p>
    <w:p>
      <w:pPr>
        <w:pStyle w:val="BodyText"/>
        <w:numPr>
          <w:ilvl w:val="0"/>
          <w:numId w:val="4"/>
        </w:numPr>
        <w:pBdr/>
        <w:tabs>
          <w:tab w:val="clear" w:pos="420"/>
          <w:tab w:val="left" w:pos="709" w:leader="none"/>
        </w:tabs>
        <w:bidi w:val="0"/>
        <w:spacing w:lineRule="auto" w:line="273" w:before="0" w:after="140"/>
        <w:ind w:hanging="283" w:start="709" w:end="0"/>
        <w:jc w:val="start"/>
        <w:rPr/>
      </w:pPr>
      <w:bookmarkStart w:id="31" w:name="p-c_fa058463f8ed15a9_c68acc42-6019-44efv"/>
      <w:bookmarkEnd w:id="31"/>
      <w:r>
        <w:rPr>
          <w:rFonts w:eastAsia="Google Sans Text;sans-serif"/>
          <w:b/>
        </w:rPr>
        <w:t>动作空间（</w:t>
      </w:r>
      <w:r>
        <w:rPr>
          <w:rFonts w:ascii="Google Sans Text;sans-serif" w:hAnsi="Google Sans Text;sans-serif"/>
          <w:b/>
        </w:rPr>
        <w:t>Action Space</w:t>
      </w:r>
      <w:r>
        <w:rPr>
          <w:rFonts w:eastAsia="Google Sans Text;sans-serif"/>
          <w:b/>
        </w:rPr>
        <w:t>）</w:t>
      </w:r>
      <w:r>
        <w:rPr>
          <w:rFonts w:eastAsia="Google Sans Text;sans-serif"/>
        </w:rPr>
        <w:t>：系统通常被约束为最清晰的离散动作组合：买入（</w:t>
      </w:r>
      <w:r>
        <w:rPr>
          <w:rFonts w:ascii="Google Sans Text;sans-serif" w:hAnsi="Google Sans Text;sans-serif"/>
        </w:rPr>
        <w:t>Buy</w:t>
      </w:r>
      <w:r>
        <w:rPr>
          <w:rFonts w:eastAsia="Google Sans Text;sans-serif"/>
        </w:rPr>
        <w:t>）、卖出（</w:t>
      </w:r>
      <w:r>
        <w:rPr>
          <w:rFonts w:ascii="Google Sans Text;sans-serif" w:hAnsi="Google Sans Text;sans-serif"/>
        </w:rPr>
        <w:t>Sell</w:t>
      </w:r>
      <w:r>
        <w:rPr>
          <w:rFonts w:eastAsia="Google Sans Text;sans-serif"/>
        </w:rPr>
        <w:t>）或持有观望（</w:t>
      </w:r>
      <w:r>
        <w:rPr>
          <w:rFonts w:ascii="Google Sans Text;sans-serif" w:hAnsi="Google Sans Text;sans-serif"/>
        </w:rPr>
        <w:t>Hold</w:t>
      </w:r>
      <w:r>
        <w:rPr>
          <w:rFonts w:eastAsia="Google Sans Text;sans-serif"/>
        </w:rPr>
        <w:t>）。</w:t>
      </w:r>
    </w:p>
    <w:p>
      <w:pPr>
        <w:pStyle w:val="BodyText"/>
        <w:numPr>
          <w:ilvl w:val="0"/>
          <w:numId w:val="4"/>
        </w:numPr>
        <w:pBdr/>
        <w:tabs>
          <w:tab w:val="clear" w:pos="420"/>
          <w:tab w:val="left" w:pos="709" w:leader="none"/>
        </w:tabs>
        <w:bidi w:val="0"/>
        <w:spacing w:lineRule="auto" w:line="273" w:before="0" w:after="140"/>
        <w:ind w:hanging="283" w:start="709" w:end="0"/>
        <w:jc w:val="start"/>
        <w:rPr/>
      </w:pPr>
      <w:bookmarkStart w:id="32" w:name="p-c_fa058463f8ed15a9_c68acc42-6019-44efw"/>
      <w:bookmarkEnd w:id="32"/>
      <w:r>
        <w:rPr>
          <w:rFonts w:eastAsia="Google Sans Text;sans-serif"/>
          <w:b/>
        </w:rPr>
        <w:t>奖励机制（</w:t>
      </w:r>
      <w:r>
        <w:rPr>
          <w:rFonts w:ascii="Google Sans Text;sans-serif" w:hAnsi="Google Sans Text;sans-serif"/>
          <w:b/>
        </w:rPr>
        <w:t>Reward Function</w:t>
      </w:r>
      <w:r>
        <w:rPr>
          <w:rFonts w:eastAsia="Google Sans Text;sans-serif"/>
          <w:b/>
        </w:rPr>
        <w:t>）与学习过程</w:t>
      </w:r>
      <w:r>
        <w:rPr>
          <w:rFonts w:eastAsia="Google Sans Text;sans-serif"/>
        </w:rPr>
        <w:t>：奖励不仅锚定投资组合的绝对净值增长（</w:t>
      </w:r>
      <w:r>
        <w:rPr>
          <w:rFonts w:ascii="Google Sans Text;sans-serif" w:hAnsi="Google Sans Text;sans-serif"/>
        </w:rPr>
        <w:t>ROI</w:t>
      </w:r>
      <w:r>
        <w:rPr>
          <w:rFonts w:eastAsia="Google Sans Text;sans-serif"/>
        </w:rPr>
        <w:t>），更应结合</w:t>
      </w:r>
      <w:r>
        <w:rPr>
          <w:rFonts w:ascii="Google Sans Text;sans-serif" w:hAnsi="Google Sans Text;sans-serif"/>
        </w:rPr>
        <w:t>A</w:t>
      </w:r>
      <w:r>
        <w:rPr>
          <w:rFonts w:eastAsia="Google Sans Text;sans-serif"/>
        </w:rPr>
        <w:t>股的滑点、交易税费以及最大回撤进行惩罚修正。算法通过贝尔曼方程更新</w:t>
      </w:r>
      <w:r>
        <w:rPr>
          <w:rFonts w:ascii="Google Sans Text;sans-serif" w:hAnsi="Google Sans Text;sans-serif"/>
        </w:rPr>
        <w:t>Q-Table</w:t>
      </w:r>
      <w:r>
        <w:rPr>
          <w:rFonts w:eastAsia="Google Sans Text;sans-serif"/>
        </w:rPr>
        <w:t>中的状态</w:t>
      </w:r>
      <w:r>
        <w:rPr>
          <w:rFonts w:ascii="Google Sans Text;sans-serif" w:hAnsi="Google Sans Text;sans-serif"/>
        </w:rPr>
        <w:t>-</w:t>
      </w:r>
      <w:r>
        <w:rPr>
          <w:rFonts w:eastAsia="Google Sans Text;sans-serif"/>
        </w:rPr>
        <w:t>动作价值：在探索（</w:t>
      </w:r>
      <w:r>
        <w:rPr>
          <w:rFonts w:ascii="Google Sans Text;sans-serif" w:hAnsi="Google Sans Text;sans-serif"/>
        </w:rPr>
        <w:t>Exploration</w:t>
      </w:r>
      <w:r>
        <w:rPr>
          <w:rFonts w:eastAsia="Google Sans Text;sans-serif"/>
        </w:rPr>
        <w:t>）与利用（</w:t>
      </w:r>
      <w:r>
        <w:rPr>
          <w:rFonts w:ascii="Google Sans Text;sans-serif" w:hAnsi="Google Sans Text;sans-serif"/>
        </w:rPr>
        <w:t>Exploitation</w:t>
      </w:r>
      <w:r>
        <w:rPr>
          <w:rFonts w:eastAsia="Google Sans Text;sans-serif"/>
        </w:rPr>
        <w:t xml:space="preserve">）的 </w:t>
      </w:r>
      <w:r>
        <w:rPr>
          <w:rFonts w:ascii="Google Sans Text;sans-serif" w:hAnsi="Google Sans Text;sans-serif"/>
        </w:rPr>
        <w:t xml:space="preserve">$\epsilon$-Greedy </w:t>
      </w:r>
      <w:r>
        <w:rPr>
          <w:rFonts w:eastAsia="Google Sans Text;sans-serif"/>
        </w:rPr>
        <w:t>策略平衡下，学习率（</w:t>
      </w:r>
      <w:r>
        <w:rPr>
          <w:rFonts w:ascii="Google Sans Text;sans-serif" w:hAnsi="Google Sans Text;sans-serif"/>
        </w:rPr>
        <w:t>Alpha</w:t>
      </w:r>
      <w:r>
        <w:rPr>
          <w:rFonts w:eastAsia="Google Sans Text;sans-serif"/>
        </w:rPr>
        <w:t>）决定了模型对</w:t>
      </w:r>
      <w:r>
        <w:rPr>
          <w:rFonts w:ascii="Google Sans Text;sans-serif" w:hAnsi="Google Sans Text;sans-serif"/>
        </w:rPr>
        <w:t>A</w:t>
      </w:r>
      <w:r>
        <w:rPr>
          <w:rFonts w:eastAsia="Google Sans Text;sans-serif"/>
        </w:rPr>
        <w:t>股牛熊风格切换的适应速度，而折扣因子（</w:t>
      </w:r>
      <w:r>
        <w:rPr>
          <w:rFonts w:ascii="Google Sans Text;sans-serif" w:hAnsi="Google Sans Text;sans-serif"/>
        </w:rPr>
        <w:t>Gamma</w:t>
      </w:r>
      <w:r>
        <w:rPr>
          <w:rFonts w:eastAsia="Google Sans Text;sans-serif"/>
        </w:rPr>
        <w:t>）则体现了智能体对未来长远利润的重视程度。</w:t>
      </w:r>
    </w:p>
    <w:p>
      <w:pPr>
        <w:pStyle w:val="BodyText"/>
        <w:bidi w:val="0"/>
        <w:spacing w:lineRule="auto" w:line="273" w:before="0" w:after="140"/>
        <w:ind w:hanging="0" w:start="0" w:end="0"/>
        <w:jc w:val="start"/>
        <w:rPr/>
      </w:pPr>
      <w:bookmarkStart w:id="33" w:name="p-c_fa058463f8ed15a9_c68acc42-6019-44efx"/>
      <w:bookmarkEnd w:id="33"/>
      <w:r>
        <w:rPr>
          <w:rFonts w:eastAsia="Google Sans Text;sans-serif"/>
        </w:rPr>
        <w:t>更具前瞻性的是，基于开源生态（如</w:t>
      </w:r>
      <w:r>
        <w:rPr>
          <w:rFonts w:ascii="Google Sans Text;sans-serif" w:hAnsi="Google Sans Text;sans-serif"/>
        </w:rPr>
        <w:t>Github</w:t>
      </w:r>
      <w:r>
        <w:rPr>
          <w:rFonts w:eastAsia="Google Sans Text;sans-serif"/>
        </w:rPr>
        <w:t xml:space="preserve">）中涌现的 </w:t>
      </w:r>
      <w:r>
        <w:rPr>
          <w:rFonts w:ascii="Google Sans Text;sans-serif" w:hAnsi="Google Sans Text;sans-serif"/>
        </w:rPr>
        <w:t xml:space="preserve">Wyckoff AI Assistant </w:t>
      </w:r>
      <w:r>
        <w:rPr>
          <w:rFonts w:eastAsia="Google Sans Text;sans-serif"/>
        </w:rPr>
        <w:t>项目，架构工程师可以集成基于</w:t>
      </w:r>
      <w:r>
        <w:rPr>
          <w:rFonts w:ascii="Google Sans Text;sans-serif" w:hAnsi="Google Sans Text;sans-serif"/>
        </w:rPr>
        <w:t>Transformer</w:t>
      </w:r>
      <w:r>
        <w:rPr>
          <w:rFonts w:eastAsia="Google Sans Text;sans-serif"/>
        </w:rPr>
        <w:t>架构的大规模语言模型（</w:t>
      </w:r>
      <w:r>
        <w:rPr>
          <w:rFonts w:ascii="Google Sans Text;sans-serif" w:hAnsi="Google Sans Text;sans-serif"/>
        </w:rPr>
        <w:t>LLMs</w:t>
      </w:r>
      <w:r>
        <w:rPr>
          <w:rFonts w:eastAsia="Google Sans Text;sans-serif"/>
        </w:rPr>
        <w:t>）。这些模型在经过威科夫经典著作和海量结构化盘面数据的微调训练后，能够以自然语言交互的方式，实时辅助量化系统解读宏观市场情绪、解读财报预期差与盘面价量行为的背离。这种将</w:t>
      </w:r>
      <w:r>
        <w:rPr>
          <w:rFonts w:ascii="Google Sans Text;sans-serif" w:hAnsi="Google Sans Text;sans-serif"/>
        </w:rPr>
        <w:t>LLM</w:t>
      </w:r>
      <w:r>
        <w:rPr>
          <w:rFonts w:eastAsia="Google Sans Text;sans-serif"/>
        </w:rPr>
        <w:t>的宏观模糊推理与</w:t>
      </w:r>
      <w:r>
        <w:rPr>
          <w:rFonts w:ascii="Google Sans Text;sans-serif" w:hAnsi="Google Sans Text;sans-serif"/>
        </w:rPr>
        <w:t>RL</w:t>
      </w:r>
      <w:r>
        <w:rPr>
          <w:rFonts w:eastAsia="Google Sans Text;sans-serif"/>
        </w:rPr>
        <w:t>算法的微观精准执行相融合的架构，极大地拓宽了量化系统的认知边界。</w:t>
      </w:r>
    </w:p>
    <w:p>
      <w:pPr>
        <w:pStyle w:val="Heading2"/>
        <w:bidi w:val="0"/>
        <w:spacing w:lineRule="auto" w:line="273" w:before="0" w:after="140"/>
        <w:ind w:hanging="0" w:start="0" w:end="0"/>
        <w:jc w:val="start"/>
        <w:rPr/>
      </w:pPr>
      <w:r>
        <w:rPr>
          <w:rFonts w:ascii="Google Sans;sans-serif" w:hAnsi="Google Sans;sans-serif"/>
        </w:rPr>
        <w:t>A</w:t>
      </w:r>
      <w:r>
        <w:rPr>
          <w:rFonts w:eastAsia="Google Sans;sans-serif"/>
        </w:rPr>
        <w:t>股威科夫量化交易系统（</w:t>
      </w:r>
      <w:r>
        <w:rPr>
          <w:rFonts w:ascii="Google Sans;sans-serif" w:hAnsi="Google Sans;sans-serif"/>
        </w:rPr>
        <w:t>WQTS</w:t>
      </w:r>
      <w:r>
        <w:rPr>
          <w:rFonts w:eastAsia="Google Sans;sans-serif"/>
        </w:rPr>
        <w:t>）的全局实施路径与实战推演</w:t>
      </w:r>
    </w:p>
    <w:p>
      <w:pPr>
        <w:pStyle w:val="BodyText"/>
        <w:bidi w:val="0"/>
        <w:spacing w:lineRule="auto" w:line="273" w:before="0" w:after="140"/>
        <w:ind w:hanging="0" w:start="0" w:end="0"/>
        <w:jc w:val="start"/>
        <w:rPr/>
      </w:pPr>
      <w:r>
        <w:rPr>
          <w:rFonts w:eastAsia="Google Sans Text;sans-serif"/>
        </w:rPr>
        <w:t>综合上述所有的理论模型、数据结构与</w:t>
      </w:r>
      <w:r>
        <w:rPr>
          <w:rFonts w:ascii="Google Sans Text;sans-serif" w:hAnsi="Google Sans Text;sans-serif"/>
        </w:rPr>
        <w:t>AI</w:t>
      </w:r>
      <w:r>
        <w:rPr>
          <w:rFonts w:eastAsia="Google Sans Text;sans-serif"/>
        </w:rPr>
        <w:t xml:space="preserve">算法，构建一套完全自动化、支持本地多周期的 </w:t>
      </w:r>
      <w:r>
        <w:rPr>
          <w:rFonts w:ascii="Google Sans Text;sans-serif" w:hAnsi="Google Sans Text;sans-serif"/>
        </w:rPr>
        <w:t>A</w:t>
      </w:r>
      <w:r>
        <w:rPr>
          <w:rFonts w:eastAsia="Google Sans Text;sans-serif"/>
        </w:rPr>
        <w:t>股威科夫量化交易系统（</w:t>
      </w:r>
      <w:r>
        <w:rPr>
          <w:rFonts w:ascii="Google Sans Text;sans-serif" w:hAnsi="Google Sans Text;sans-serif"/>
        </w:rPr>
        <w:t>Wyckoff Quantitative Trading System, WQTS</w:t>
      </w:r>
      <w:r>
        <w:rPr>
          <w:rFonts w:eastAsia="Google Sans Text;sans-serif"/>
        </w:rPr>
        <w:t>）在</w:t>
      </w:r>
      <w:r>
        <w:rPr>
          <w:rFonts w:ascii="Google Sans Text;sans-serif" w:hAnsi="Google Sans Text;sans-serif"/>
        </w:rPr>
        <w:t>Python</w:t>
      </w:r>
      <w:r>
        <w:rPr>
          <w:rFonts w:eastAsia="Google Sans Text;sans-serif"/>
        </w:rPr>
        <w:t>生态下是彻底可行的。其完整的工程部署路径包含以下五个核心层级：</w:t>
      </w:r>
    </w:p>
    <w:p>
      <w:pPr>
        <w:pStyle w:val="BodyText"/>
        <w:bidi w:val="0"/>
        <w:spacing w:lineRule="auto" w:line="273" w:before="0" w:after="140"/>
        <w:ind w:hanging="0" w:start="0" w:end="0"/>
        <w:jc w:val="start"/>
        <w:rPr/>
      </w:pPr>
      <w:bookmarkStart w:id="34" w:name="p-c_fa058463f8ed15a9_c68acc42-6019-44efy"/>
      <w:bookmarkEnd w:id="34"/>
      <w:r>
        <w:rPr>
          <w:rFonts w:eastAsia="Google Sans Text;sans-serif"/>
          <w:b/>
        </w:rPr>
        <w:t>第一层：高性能本地数据与时序对齐层（</w:t>
      </w:r>
      <w:r>
        <w:rPr>
          <w:rFonts w:ascii="Google Sans Text;sans-serif" w:hAnsi="Google Sans Text;sans-serif"/>
          <w:b/>
        </w:rPr>
        <w:t>Data &amp; Alignment Layer</w:t>
      </w:r>
      <w:r>
        <w:rPr>
          <w:rFonts w:eastAsia="Google Sans Text;sans-serif"/>
          <w:b/>
        </w:rPr>
        <w:t>）</w:t>
      </w:r>
      <w:r>
        <w:rPr>
          <w:rFonts w:eastAsia="Google Sans Text;sans-serif"/>
        </w:rPr>
        <w:t xml:space="preserve"> 摒弃外部高延迟</w:t>
      </w:r>
      <w:r>
        <w:rPr>
          <w:rFonts w:ascii="Google Sans Text;sans-serif" w:hAnsi="Google Sans Text;sans-serif"/>
        </w:rPr>
        <w:t>API</w:t>
      </w:r>
      <w:r>
        <w:rPr>
          <w:rFonts w:eastAsia="Google Sans Text;sans-serif"/>
        </w:rPr>
        <w:t>，系统直接对接本地高性能时序数据库（如基于</w:t>
      </w:r>
      <w:r>
        <w:rPr>
          <w:rFonts w:ascii="Google Sans Text;sans-serif" w:hAnsi="Google Sans Text;sans-serif"/>
        </w:rPr>
        <w:t>PostgreSQL</w:t>
      </w:r>
      <w:r>
        <w:rPr>
          <w:rFonts w:eastAsia="Google Sans Text;sans-serif"/>
        </w:rPr>
        <w:t>的</w:t>
      </w:r>
      <w:r>
        <w:rPr>
          <w:rFonts w:ascii="Google Sans Text;sans-serif" w:hAnsi="Google Sans Text;sans-serif"/>
        </w:rPr>
        <w:t>TimescaleDB</w:t>
      </w:r>
      <w:r>
        <w:rPr>
          <w:rFonts w:eastAsia="Google Sans Text;sans-serif"/>
        </w:rPr>
        <w:t>或</w:t>
      </w:r>
      <w:r>
        <w:rPr>
          <w:rFonts w:ascii="Google Sans Text;sans-serif" w:hAnsi="Google Sans Text;sans-serif"/>
        </w:rPr>
        <w:t>HDF5</w:t>
      </w:r>
      <w:r>
        <w:rPr>
          <w:rFonts w:eastAsia="Google Sans Text;sans-serif"/>
        </w:rPr>
        <w:t>文件系统），存储</w:t>
      </w:r>
      <w:r>
        <w:rPr>
          <w:rFonts w:ascii="Google Sans Text;sans-serif" w:hAnsi="Google Sans Text;sans-serif"/>
        </w:rPr>
        <w:t>A</w:t>
      </w:r>
      <w:r>
        <w:rPr>
          <w:rFonts w:eastAsia="Google Sans Text;sans-serif"/>
        </w:rPr>
        <w:t>股全市场</w:t>
      </w:r>
      <w:r>
        <w:rPr>
          <w:rFonts w:ascii="Google Sans Text;sans-serif" w:hAnsi="Google Sans Text;sans-serif"/>
        </w:rPr>
        <w:t>5000</w:t>
      </w:r>
      <w:r>
        <w:rPr>
          <w:rFonts w:eastAsia="Google Sans Text;sans-serif"/>
        </w:rPr>
        <w:t>余只股票的复权日线、资金流向及部分</w:t>
      </w:r>
      <w:r>
        <w:rPr>
          <w:rFonts w:ascii="Google Sans Text;sans-serif" w:hAnsi="Google Sans Text;sans-serif"/>
        </w:rPr>
        <w:t>Tick</w:t>
      </w:r>
      <w:r>
        <w:rPr>
          <w:rFonts w:eastAsia="Google Sans Text;sans-serif"/>
        </w:rPr>
        <w:t>快照数据。数据引擎每日盘后启动，首先执行严格防前视泄露的重采样算法（</w:t>
      </w:r>
      <w:r>
        <w:rPr>
          <w:rFonts w:ascii="Google Sans Text;sans-serif" w:hAnsi="Google Sans Text;sans-serif"/>
        </w:rPr>
        <w:t>Resampling</w:t>
      </w:r>
      <w:r>
        <w:rPr>
          <w:rFonts w:eastAsia="Google Sans Text;sans-serif"/>
        </w:rPr>
        <w:t>），生成截至当日动态闭合的周线和月线序列。同时，计算个股相较于中证</w:t>
      </w:r>
      <w:r>
        <w:rPr>
          <w:rFonts w:ascii="Google Sans Text;sans-serif" w:hAnsi="Google Sans Text;sans-serif"/>
        </w:rPr>
        <w:t>800</w:t>
      </w:r>
      <w:r>
        <w:rPr>
          <w:rFonts w:eastAsia="Google Sans Text;sans-serif"/>
        </w:rPr>
        <w:t>指数的相对强度（</w:t>
      </w:r>
      <w:r>
        <w:rPr>
          <w:rFonts w:ascii="Google Sans Text;sans-serif" w:hAnsi="Google Sans Text;sans-serif"/>
        </w:rPr>
        <w:t>Relative Strength Ratio</w:t>
      </w:r>
      <w:r>
        <w:rPr>
          <w:rFonts w:eastAsia="Google Sans Text;sans-serif"/>
        </w:rPr>
        <w:t>），只将处于长期相对强度上升通道的标的纳入活跃资金池，严格遵守威科夫在多头市场只做强势股的原则。</w:t>
      </w:r>
    </w:p>
    <w:p>
      <w:pPr>
        <w:pStyle w:val="BodyText"/>
        <w:bidi w:val="0"/>
        <w:spacing w:lineRule="auto" w:line="273" w:before="0" w:after="140"/>
        <w:ind w:hanging="0" w:start="0" w:end="0"/>
        <w:jc w:val="start"/>
        <w:rPr/>
      </w:pPr>
      <w:bookmarkStart w:id="35" w:name="p-c_fa058463f8ed15a9_c68acc42-6019-44efz"/>
      <w:bookmarkEnd w:id="35"/>
      <w:r>
        <w:rPr>
          <w:rFonts w:eastAsia="Google Sans Text;sans-serif"/>
          <w:b/>
        </w:rPr>
        <w:t>第二层：指标运算与特征矩阵生成层（</w:t>
      </w:r>
      <w:r>
        <w:rPr>
          <w:rFonts w:ascii="Google Sans Text;sans-serif" w:hAnsi="Google Sans Text;sans-serif"/>
          <w:b/>
        </w:rPr>
        <w:t>Feature Engineering Layer</w:t>
      </w:r>
      <w:r>
        <w:rPr>
          <w:rFonts w:eastAsia="Google Sans Text;sans-serif"/>
          <w:b/>
        </w:rPr>
        <w:t>）</w:t>
      </w:r>
      <w:r>
        <w:rPr>
          <w:rFonts w:eastAsia="Google Sans Text;sans-serif"/>
        </w:rPr>
        <w:t xml:space="preserve"> 调用高效的 </w:t>
      </w:r>
      <w:r>
        <w:rPr>
          <w:rStyle w:val="Style12"/>
          <w:rFonts w:ascii="Google Sans Text;sans-serif" w:hAnsi="Google Sans Text;sans-serif"/>
        </w:rPr>
        <w:t>Pandas</w:t>
      </w:r>
      <w:r>
        <w:rPr>
          <w:rFonts w:ascii="Google Sans Text;sans-serif" w:hAnsi="Google Sans Text;sans-serif"/>
        </w:rPr>
        <w:t xml:space="preserve"> </w:t>
      </w:r>
      <w:r>
        <w:rPr>
          <w:rFonts w:eastAsia="Google Sans Text;sans-serif"/>
        </w:rPr>
        <w:t xml:space="preserve">向量化操作结合 </w:t>
      </w:r>
      <w:r>
        <w:rPr>
          <w:rStyle w:val="Style12"/>
          <w:rFonts w:ascii="Google Sans Text;sans-serif" w:hAnsi="Google Sans Text;sans-serif"/>
        </w:rPr>
        <w:t>Numba</w:t>
      </w:r>
      <w:r>
        <w:rPr>
          <w:rFonts w:ascii="Google Sans Text;sans-serif" w:hAnsi="Google Sans Text;sans-serif"/>
        </w:rPr>
        <w:t xml:space="preserve"> </w:t>
      </w:r>
      <w:r>
        <w:rPr>
          <w:rFonts w:eastAsia="Google Sans Text;sans-serif"/>
        </w:rPr>
        <w:t xml:space="preserve">甚至 </w:t>
      </w:r>
      <w:r>
        <w:rPr>
          <w:rStyle w:val="Style12"/>
          <w:rFonts w:ascii="Google Sans Text;sans-serif" w:hAnsi="Google Sans Text;sans-serif"/>
        </w:rPr>
        <w:t>TA-Lib</w:t>
      </w:r>
      <w:r>
        <w:rPr>
          <w:rFonts w:ascii="Google Sans Text;sans-serif" w:hAnsi="Google Sans Text;sans-serif"/>
        </w:rPr>
        <w:t xml:space="preserve"> </w:t>
      </w:r>
      <w:r>
        <w:rPr>
          <w:rFonts w:eastAsia="Google Sans Text;sans-serif"/>
        </w:rPr>
        <w:t>底层库，批量计算每日的全谱系特征。这包括宏观的阻力支撑线动态生成、点数图（</w:t>
      </w:r>
      <w:r>
        <w:rPr>
          <w:rFonts w:ascii="Google Sans Text;sans-serif" w:hAnsi="Google Sans Text;sans-serif"/>
        </w:rPr>
        <w:t>P&amp;F</w:t>
      </w:r>
      <w:r>
        <w:rPr>
          <w:rFonts w:eastAsia="Google Sans Text;sans-serif"/>
        </w:rPr>
        <w:t>）横向区间网格累加、以及微观的努力与结果背离振荡器（</w:t>
      </w:r>
      <w:r>
        <w:rPr>
          <w:rFonts w:ascii="Google Sans Text;sans-serif" w:hAnsi="Google Sans Text;sans-serif"/>
        </w:rPr>
        <w:t>Volume-Price Divergence Oscillator</w:t>
      </w:r>
      <w:r>
        <w:rPr>
          <w:rFonts w:eastAsia="Google Sans Text;sans-serif"/>
        </w:rPr>
        <w:t>）。特征矩阵在此完成标准化与离散化处理，为上层模型提供纯净的信号源。</w:t>
      </w:r>
    </w:p>
    <w:p>
      <w:pPr>
        <w:pStyle w:val="BodyText"/>
        <w:bidi w:val="0"/>
        <w:spacing w:lineRule="auto" w:line="273" w:before="0" w:after="140"/>
        <w:ind w:hanging="0" w:start="0" w:end="0"/>
        <w:jc w:val="start"/>
        <w:rPr/>
      </w:pPr>
      <w:bookmarkStart w:id="36" w:name="p-c_fa058463f8ed15a9_c68acc42-6019-44e10"/>
      <w:bookmarkEnd w:id="36"/>
      <w:r>
        <w:rPr>
          <w:rFonts w:eastAsia="Google Sans Text;sans-serif"/>
          <w:b/>
        </w:rPr>
        <w:t>第三层：概率云坍缩与威科夫事件扫描层（</w:t>
      </w:r>
      <w:r>
        <w:rPr>
          <w:rFonts w:ascii="Google Sans Text;sans-serif" w:hAnsi="Google Sans Text;sans-serif"/>
          <w:b/>
        </w:rPr>
        <w:t>Event Detection &amp; Collapse Layer</w:t>
      </w:r>
      <w:r>
        <w:rPr>
          <w:rFonts w:eastAsia="Google Sans Text;sans-serif"/>
          <w:b/>
        </w:rPr>
        <w:t>）</w:t>
      </w:r>
      <w:r>
        <w:rPr>
          <w:rFonts w:eastAsia="Google Sans Text;sans-serif"/>
        </w:rPr>
        <w:t xml:space="preserve"> 这是</w:t>
      </w:r>
      <w:r>
        <w:rPr>
          <w:rFonts w:ascii="Google Sans Text;sans-serif" w:hAnsi="Google Sans Text;sans-serif"/>
        </w:rPr>
        <w:t>WQTS</w:t>
      </w:r>
      <w:r>
        <w:rPr>
          <w:rFonts w:eastAsia="Google Sans Text;sans-serif"/>
        </w:rPr>
        <w:t>的计算中枢。系统将特征矩阵输入深度学习</w:t>
      </w:r>
      <w:r>
        <w:rPr>
          <w:rFonts w:ascii="Google Sans Text;sans-serif" w:hAnsi="Google Sans Text;sans-serif"/>
        </w:rPr>
        <w:t>CNN+LSTM</w:t>
      </w:r>
      <w:r>
        <w:rPr>
          <w:rFonts w:eastAsia="Google Sans Text;sans-serif"/>
        </w:rPr>
        <w:t>模型或</w:t>
      </w:r>
      <w:r>
        <w:rPr>
          <w:rFonts w:ascii="Google Sans Text;sans-serif" w:hAnsi="Google Sans Text;sans-serif"/>
        </w:rPr>
        <w:t>WSS</w:t>
      </w:r>
      <w:r>
        <w:rPr>
          <w:rFonts w:eastAsia="Google Sans Text;sans-serif"/>
        </w:rPr>
        <w:t>规律统计模型中，对全市场标的进行似然度评估。对于每一只股票，模型计算其当前处于吸筹（</w:t>
      </w:r>
      <w:r>
        <w:rPr>
          <w:rFonts w:ascii="Google Sans Text;sans-serif" w:hAnsi="Google Sans Text;sans-serif"/>
        </w:rPr>
        <w:t>A-E</w:t>
      </w:r>
      <w:r>
        <w:rPr>
          <w:rFonts w:eastAsia="Google Sans Text;sans-serif"/>
        </w:rPr>
        <w:t>阶段）、派发等微观阶段的概率。关键在于捕捉那些前期历经长达数月的无聊横盘（建立充分因果），且在当前日线级别触发了强力</w:t>
      </w:r>
      <w:r>
        <w:rPr>
          <w:rFonts w:ascii="Google Sans Text;sans-serif" w:hAnsi="Google Sans Text;sans-serif"/>
        </w:rPr>
        <w:t>Spring</w:t>
      </w:r>
      <w:r>
        <w:rPr>
          <w:rFonts w:eastAsia="Google Sans Text;sans-serif"/>
        </w:rPr>
        <w:t>测试（高胜率切入点），或者完成二次测试（</w:t>
      </w:r>
      <w:r>
        <w:rPr>
          <w:rFonts w:ascii="Google Sans Text;sans-serif" w:hAnsi="Google Sans Text;sans-serif"/>
        </w:rPr>
        <w:t>ST</w:t>
      </w:r>
      <w:r>
        <w:rPr>
          <w:rFonts w:eastAsia="Google Sans Text;sans-serif"/>
        </w:rPr>
        <w:t>）即将跨越阻力溪流（</w:t>
      </w:r>
      <w:r>
        <w:rPr>
          <w:rFonts w:ascii="Google Sans Text;sans-serif" w:hAnsi="Google Sans Text;sans-serif"/>
        </w:rPr>
        <w:t>JAC</w:t>
      </w:r>
      <w:r>
        <w:rPr>
          <w:rFonts w:eastAsia="Google Sans Text;sans-serif"/>
        </w:rPr>
        <w:t>）的关键标的。</w:t>
      </w:r>
    </w:p>
    <w:p>
      <w:pPr>
        <w:pStyle w:val="BodyText"/>
        <w:bidi w:val="0"/>
        <w:spacing w:lineRule="auto" w:line="273" w:before="0" w:after="140"/>
        <w:ind w:hanging="0" w:start="0" w:end="0"/>
        <w:jc w:val="start"/>
        <w:rPr/>
      </w:pPr>
      <w:r>
        <w:rPr>
          <w:rFonts w:eastAsia="Google Sans Text;sans-serif"/>
          <w:b/>
        </w:rPr>
        <w:t>第四层：多周期共振过滤与决策执行层（</w:t>
      </w:r>
      <w:r>
        <w:rPr>
          <w:rFonts w:ascii="Google Sans Text;sans-serif" w:hAnsi="Google Sans Text;sans-serif"/>
          <w:b/>
        </w:rPr>
        <w:t>Resonance &amp; Execution Layer</w:t>
      </w:r>
      <w:r>
        <w:rPr>
          <w:rFonts w:eastAsia="Google Sans Text;sans-serif"/>
          <w:b/>
        </w:rPr>
        <w:t>）</w:t>
      </w:r>
      <w:r>
        <w:rPr>
          <w:rFonts w:eastAsia="Google Sans Text;sans-serif"/>
        </w:rPr>
        <w:t xml:space="preserve"> 在此环节，强化学习智能体（</w:t>
      </w:r>
      <w:r>
        <w:rPr>
          <w:rFonts w:ascii="Google Sans Text;sans-serif" w:hAnsi="Google Sans Text;sans-serif"/>
        </w:rPr>
        <w:t>RL Agent</w:t>
      </w:r>
      <w:r>
        <w:rPr>
          <w:rFonts w:eastAsia="Google Sans Text;sans-serif"/>
        </w:rPr>
        <w:t>）或高级逻辑树接管最终决策。任何来自日线的买入信号（如发现一个完美的放量下跌、缩量收复的</w:t>
      </w:r>
      <w:r>
        <w:rPr>
          <w:rFonts w:ascii="Google Sans Text;sans-serif" w:hAnsi="Google Sans Text;sans-serif"/>
        </w:rPr>
        <w:t>Type 2 Spring</w:t>
      </w:r>
      <w:r>
        <w:rPr>
          <w:rFonts w:eastAsia="Google Sans Text;sans-serif"/>
        </w:rPr>
        <w:t>），必须经受多周期的严酷质询：</w:t>
      </w:r>
    </w:p>
    <w:p>
      <w:pPr>
        <w:pStyle w:val="BodyText"/>
        <w:numPr>
          <w:ilvl w:val="0"/>
          <w:numId w:val="5"/>
        </w:numPr>
        <w:pBdr/>
        <w:tabs>
          <w:tab w:val="clear" w:pos="420"/>
          <w:tab w:val="left" w:pos="709" w:leader="none"/>
        </w:tabs>
        <w:bidi w:val="0"/>
        <w:spacing w:lineRule="auto" w:line="273" w:before="0" w:after="140"/>
        <w:ind w:hanging="283" w:start="709" w:end="0"/>
        <w:jc w:val="start"/>
        <w:rPr>
          <w:rFonts w:eastAsia="Google Sans Text;sans-serif"/>
        </w:rPr>
      </w:pPr>
      <w:r>
        <w:rPr>
          <w:rFonts w:eastAsia="Google Sans Text;sans-serif"/>
        </w:rPr>
        <w:t>月线是否显示总体处于吸筹末期或上升趋势初期？</w:t>
      </w:r>
    </w:p>
    <w:p>
      <w:pPr>
        <w:pStyle w:val="BodyText"/>
        <w:numPr>
          <w:ilvl w:val="0"/>
          <w:numId w:val="5"/>
        </w:numPr>
        <w:pBdr/>
        <w:tabs>
          <w:tab w:val="clear" w:pos="420"/>
          <w:tab w:val="left" w:pos="709" w:leader="none"/>
        </w:tabs>
        <w:bidi w:val="0"/>
        <w:spacing w:lineRule="auto" w:line="273" w:before="0" w:after="140"/>
        <w:ind w:hanging="283" w:start="709" w:end="0"/>
        <w:jc w:val="start"/>
        <w:rPr/>
      </w:pPr>
      <w:r>
        <w:rPr>
          <w:rFonts w:eastAsia="Google Sans Text;sans-serif"/>
        </w:rPr>
        <w:t>周线是否有效确认了下方宏观支撑区间的有效性，且</w:t>
      </w:r>
      <w:r>
        <w:rPr>
          <w:rFonts w:ascii="Google Sans Text;sans-serif" w:hAnsi="Google Sans Text;sans-serif"/>
        </w:rPr>
        <w:t>MACD</w:t>
      </w:r>
      <w:r>
        <w:rPr>
          <w:rFonts w:eastAsia="Google Sans Text;sans-serif"/>
        </w:rPr>
        <w:t>无大级别顶背离？</w:t>
      </w:r>
    </w:p>
    <w:p>
      <w:pPr>
        <w:pStyle w:val="BodyText"/>
        <w:numPr>
          <w:ilvl w:val="0"/>
          <w:numId w:val="5"/>
        </w:numPr>
        <w:pBdr/>
        <w:tabs>
          <w:tab w:val="clear" w:pos="420"/>
          <w:tab w:val="left" w:pos="709" w:leader="none"/>
        </w:tabs>
        <w:bidi w:val="0"/>
        <w:spacing w:lineRule="auto" w:line="273" w:before="0" w:after="140"/>
        <w:ind w:hanging="283" w:start="709" w:end="0"/>
        <w:jc w:val="start"/>
        <w:rPr>
          <w:rFonts w:eastAsia="Google Sans Text;sans-serif"/>
        </w:rPr>
      </w:pPr>
      <w:bookmarkStart w:id="37" w:name="p-c_fa058463f8ed15a9_c68acc42-6019-44e11"/>
      <w:bookmarkEnd w:id="37"/>
      <w:r>
        <w:rPr>
          <w:rFonts w:eastAsia="Google Sans Text;sans-serif"/>
        </w:rPr>
        <w:t>日内盘口相对成交量是否支持机构主动性买盘的介入？ 只有当所有高维度周期均产生多头共振时，信号才会被准许放行。</w:t>
      </w:r>
    </w:p>
    <w:p>
      <w:pPr>
        <w:pStyle w:val="BodyText"/>
        <w:bidi w:val="0"/>
        <w:spacing w:lineRule="auto" w:line="273" w:before="0" w:after="140"/>
        <w:ind w:hanging="0" w:start="0" w:end="0"/>
        <w:jc w:val="start"/>
        <w:rPr/>
      </w:pPr>
      <w:bookmarkStart w:id="38" w:name="p-c_fa058463f8ed15a9_c68acc42-6019-44e12"/>
      <w:bookmarkEnd w:id="38"/>
      <w:r>
        <w:rPr>
          <w:rFonts w:eastAsia="Google Sans Text;sans-serif"/>
          <w:b/>
        </w:rPr>
        <w:t>第五层：风险管理与动态退出机制（</w:t>
      </w:r>
      <w:r>
        <w:rPr>
          <w:rFonts w:ascii="Google Sans Text;sans-serif" w:hAnsi="Google Sans Text;sans-serif"/>
          <w:b/>
        </w:rPr>
        <w:t>Risk Management Layer</w:t>
      </w:r>
      <w:r>
        <w:rPr>
          <w:rFonts w:eastAsia="Google Sans Text;sans-serif"/>
          <w:b/>
        </w:rPr>
        <w:t>）</w:t>
      </w:r>
      <w:r>
        <w:rPr>
          <w:rFonts w:eastAsia="Google Sans Text;sans-serif"/>
        </w:rPr>
        <w:t xml:space="preserve"> 由于</w:t>
      </w:r>
      <w:r>
        <w:rPr>
          <w:rFonts w:ascii="Google Sans Text;sans-serif" w:hAnsi="Google Sans Text;sans-serif"/>
        </w:rPr>
        <w:t>A</w:t>
      </w:r>
      <w:r>
        <w:rPr>
          <w:rFonts w:eastAsia="Google Sans Text;sans-serif"/>
        </w:rPr>
        <w:t>股的</w:t>
      </w:r>
      <w:r>
        <w:rPr>
          <w:rFonts w:ascii="Google Sans Text;sans-serif" w:hAnsi="Google Sans Text;sans-serif"/>
        </w:rPr>
        <w:t>T+1</w:t>
      </w:r>
      <w:r>
        <w:rPr>
          <w:rFonts w:eastAsia="Google Sans Text;sans-serif"/>
        </w:rPr>
        <w:t>交割属性限制了日内纠错能力，系统执行通常设定在尾盘集合竞价前</w:t>
      </w:r>
      <w:r>
        <w:rPr>
          <w:rFonts w:ascii="Google Sans Text;sans-serif" w:hAnsi="Google Sans Text;sans-serif"/>
        </w:rPr>
        <w:t>5</w:t>
      </w:r>
      <w:r>
        <w:rPr>
          <w:rFonts w:eastAsia="Google Sans Text;sans-serif"/>
        </w:rPr>
        <w:t>分钟（当</w:t>
      </w:r>
      <w:r>
        <w:rPr>
          <w:rFonts w:ascii="Google Sans Text;sans-serif" w:hAnsi="Google Sans Text;sans-serif"/>
        </w:rPr>
        <w:t>K</w:t>
      </w:r>
      <w:r>
        <w:rPr>
          <w:rFonts w:eastAsia="Google Sans Text;sans-serif"/>
        </w:rPr>
        <w:t>线收盘形态的坍缩概率已趋近</w:t>
      </w:r>
      <w:r>
        <w:rPr>
          <w:rFonts w:ascii="Google Sans Text;sans-serif" w:hAnsi="Google Sans Text;sans-serif"/>
        </w:rPr>
        <w:t>100%</w:t>
      </w:r>
      <w:r>
        <w:rPr>
          <w:rFonts w:eastAsia="Google Sans Text;sans-serif"/>
        </w:rPr>
        <w:t>时）或者次日早盘集合竞价。买入瞬间，系统同步下达止损指令：根据</w:t>
      </w:r>
      <w:r>
        <w:rPr>
          <w:rFonts w:ascii="Google Sans Text;sans-serif" w:hAnsi="Google Sans Text;sans-serif"/>
        </w:rPr>
        <w:t>Spring</w:t>
      </w:r>
      <w:r>
        <w:rPr>
          <w:rFonts w:eastAsia="Google Sans Text;sans-serif"/>
        </w:rPr>
        <w:t>低点或近期核心支撑位下探一定比例（坚决不超过</w:t>
      </w:r>
      <w:r>
        <w:rPr>
          <w:rFonts w:ascii="Google Sans Text;sans-serif" w:hAnsi="Google Sans Text;sans-serif"/>
        </w:rPr>
        <w:t>10%</w:t>
      </w:r>
      <w:r>
        <w:rPr>
          <w:rFonts w:eastAsia="Google Sans Text;sans-serif"/>
        </w:rPr>
        <w:t>红线限制）设置硬性止损。当价格顺利脱离成本区进入拉升阶段（</w:t>
      </w:r>
      <w:r>
        <w:rPr>
          <w:rFonts w:ascii="Google Sans Text;sans-serif" w:hAnsi="Google Sans Text;sans-serif"/>
        </w:rPr>
        <w:t>Markup Phase</w:t>
      </w:r>
      <w:r>
        <w:rPr>
          <w:rFonts w:eastAsia="Google Sans Text;sans-serif"/>
        </w:rPr>
        <w:t>）后，防线切换为基于抛物线</w:t>
      </w:r>
      <w:r>
        <w:rPr>
          <w:rFonts w:ascii="Google Sans Text;sans-serif" w:hAnsi="Google Sans Text;sans-serif"/>
        </w:rPr>
        <w:t>SAR</w:t>
      </w:r>
      <w:r>
        <w:rPr>
          <w:rFonts w:eastAsia="Google Sans Text;sans-serif"/>
        </w:rPr>
        <w:t>或移动均线的追踪止损（</w:t>
      </w:r>
      <w:r>
        <w:rPr>
          <w:rFonts w:ascii="Google Sans Text;sans-serif" w:hAnsi="Google Sans Text;sans-serif"/>
        </w:rPr>
        <w:t>Trailing Stop</w:t>
      </w:r>
      <w:r>
        <w:rPr>
          <w:rFonts w:eastAsia="Google Sans Text;sans-serif"/>
        </w:rPr>
        <w:t xml:space="preserve">），直至高位出现巨量滞涨的派发事件（如初步供应 </w:t>
      </w:r>
      <w:r>
        <w:rPr>
          <w:rFonts w:ascii="Google Sans Text;sans-serif" w:hAnsi="Google Sans Text;sans-serif"/>
        </w:rPr>
        <w:t xml:space="preserve">PSY </w:t>
      </w:r>
      <w:r>
        <w:rPr>
          <w:rFonts w:eastAsia="Google Sans Text;sans-serif"/>
        </w:rPr>
        <w:t xml:space="preserve">或 购买高潮 </w:t>
      </w:r>
      <w:r>
        <w:rPr>
          <w:rFonts w:ascii="Google Sans Text;sans-serif" w:hAnsi="Google Sans Text;sans-serif"/>
        </w:rPr>
        <w:t>BC</w:t>
      </w:r>
      <w:r>
        <w:rPr>
          <w:rFonts w:eastAsia="Google Sans Text;sans-serif"/>
        </w:rPr>
        <w:t>）时，果断执行清仓离场。</w:t>
      </w:r>
    </w:p>
    <w:p>
      <w:pPr>
        <w:pStyle w:val="Heading2"/>
        <w:bidi w:val="0"/>
        <w:spacing w:lineRule="auto" w:line="273" w:before="0" w:after="140"/>
        <w:ind w:hanging="0" w:start="0" w:end="0"/>
        <w:jc w:val="start"/>
        <w:rPr>
          <w:rFonts w:eastAsia="Google Sans;sans-serif"/>
        </w:rPr>
      </w:pPr>
      <w:r>
        <w:rPr>
          <w:rFonts w:eastAsia="Google Sans;sans-serif"/>
        </w:rPr>
        <w:t>结论</w:t>
      </w:r>
    </w:p>
    <w:p>
      <w:pPr>
        <w:pStyle w:val="BodyText"/>
        <w:bidi w:val="0"/>
        <w:spacing w:lineRule="auto" w:line="273" w:before="0" w:after="140"/>
        <w:ind w:hanging="0" w:start="0" w:end="0"/>
        <w:jc w:val="start"/>
        <w:rPr/>
      </w:pPr>
      <w:r>
        <w:rPr>
          <w:rFonts w:eastAsia="Google Sans Text;sans-serif"/>
        </w:rPr>
        <w:t>经过深入的系统架构推演与历史回测数据论证，在</w:t>
      </w:r>
      <w:r>
        <w:rPr>
          <w:rFonts w:ascii="Google Sans Text;sans-serif" w:hAnsi="Google Sans Text;sans-serif"/>
        </w:rPr>
        <w:t>Python</w:t>
      </w:r>
      <w:r>
        <w:rPr>
          <w:rFonts w:eastAsia="Google Sans Text;sans-serif"/>
        </w:rPr>
        <w:t>语言为核心的量化金融生态中，基于本地</w:t>
      </w:r>
      <w:r>
        <w:rPr>
          <w:rFonts w:ascii="Google Sans Text;sans-serif" w:hAnsi="Google Sans Text;sans-serif"/>
        </w:rPr>
        <w:t>A</w:t>
      </w:r>
      <w:r>
        <w:rPr>
          <w:rFonts w:eastAsia="Google Sans Text;sans-serif"/>
        </w:rPr>
        <w:t>股日线数据并运用多周期合成技术构建威科夫量化投资系统，是一条极具战略前瞻性且工程可控的探索路径。</w:t>
      </w:r>
    </w:p>
    <w:p>
      <w:pPr>
        <w:pStyle w:val="BodyText"/>
        <w:bidi w:val="0"/>
        <w:spacing w:lineRule="auto" w:line="273" w:before="0" w:after="140"/>
        <w:ind w:hanging="0" w:start="0" w:end="0"/>
        <w:jc w:val="start"/>
        <w:rPr/>
      </w:pPr>
      <w:r>
        <w:rPr>
          <w:rFonts w:eastAsia="Google Sans Text;sans-serif"/>
        </w:rPr>
        <w:t>这一可行性的核心基石在于彻底解决了量化领域两大历史性难题：首先，通过右侧闭合截断的动态重采样算法，彻底封杀了多周期时间序列处理中的前视偏差（</w:t>
      </w:r>
      <w:r>
        <w:rPr>
          <w:rFonts w:ascii="Google Sans Text;sans-serif" w:hAnsi="Google Sans Text;sans-serif"/>
        </w:rPr>
        <w:t>Look-ahead Bias</w:t>
      </w:r>
      <w:r>
        <w:rPr>
          <w:rFonts w:eastAsia="Google Sans Text;sans-serif"/>
        </w:rPr>
        <w:t>）毒药；其次，创新性地引入“概率云叠加与坍缩”模型，彻底颠覆了传统威科夫图表分析的主观唯心主义，将依靠玄学的盘感升维为具备严密数学推导与高复现率的事件特征向量。其</w:t>
      </w:r>
      <w:r>
        <w:rPr>
          <w:rFonts w:ascii="Google Sans Text;sans-serif" w:hAnsi="Google Sans Text;sans-serif"/>
        </w:rPr>
        <w:t>WSS</w:t>
      </w:r>
      <w:r>
        <w:rPr>
          <w:rFonts w:eastAsia="Google Sans Text;sans-serif"/>
        </w:rPr>
        <w:t>统计模型在</w:t>
      </w:r>
      <w:r>
        <w:rPr>
          <w:rFonts w:ascii="Google Sans Text;sans-serif" w:hAnsi="Google Sans Text;sans-serif"/>
        </w:rPr>
        <w:t>A</w:t>
      </w:r>
      <w:r>
        <w:rPr>
          <w:rFonts w:eastAsia="Google Sans Text;sans-serif"/>
        </w:rPr>
        <w:t>股历史中获取的</w:t>
      </w:r>
      <w:r>
        <w:rPr>
          <w:rFonts w:ascii="Google Sans Text;sans-serif" w:hAnsi="Google Sans Text;sans-serif"/>
        </w:rPr>
        <w:t>25.04%</w:t>
      </w:r>
      <w:r>
        <w:rPr>
          <w:rFonts w:eastAsia="Google Sans Text;sans-serif"/>
        </w:rPr>
        <w:t>年化超额收益，是对该体系强大生命力的最有力背书。</w:t>
      </w:r>
    </w:p>
    <w:p>
      <w:pPr>
        <w:pStyle w:val="BodyText"/>
        <w:bidi w:val="0"/>
        <w:spacing w:lineRule="auto" w:line="273" w:before="0" w:after="140"/>
        <w:ind w:hanging="0" w:start="0" w:end="0"/>
        <w:jc w:val="start"/>
        <w:rPr/>
      </w:pPr>
      <w:r>
        <w:rPr>
          <w:rFonts w:eastAsia="Google Sans Text;sans-serif"/>
        </w:rPr>
        <w:t>面向未来，随着</w:t>
      </w:r>
      <w:r>
        <w:rPr>
          <w:rFonts w:ascii="Google Sans Text;sans-serif" w:hAnsi="Google Sans Text;sans-serif"/>
        </w:rPr>
        <w:t>CNN</w:t>
      </w:r>
      <w:r>
        <w:rPr>
          <w:rFonts w:eastAsia="Google Sans Text;sans-serif"/>
        </w:rPr>
        <w:t>特征提取与强化学习</w:t>
      </w:r>
      <w:r>
        <w:rPr>
          <w:rFonts w:ascii="Google Sans Text;sans-serif" w:hAnsi="Google Sans Text;sans-serif"/>
        </w:rPr>
        <w:t>Q-learning</w:t>
      </w:r>
      <w:r>
        <w:rPr>
          <w:rFonts w:eastAsia="Google Sans Text;sans-serif"/>
        </w:rPr>
        <w:t>在复杂交易环境中的深度耦合，威科夫量化架构不仅能够精准捕捉诸如弹簧效应（</w:t>
      </w:r>
      <w:r>
        <w:rPr>
          <w:rFonts w:ascii="Google Sans Text;sans-serif" w:hAnsi="Google Sans Text;sans-serif"/>
        </w:rPr>
        <w:t>Spring</w:t>
      </w:r>
      <w:r>
        <w:rPr>
          <w:rFonts w:eastAsia="Google Sans Text;sans-serif"/>
        </w:rPr>
        <w:t>）这类具有极致盈亏比的微观反转形态，更能在瞬息万变的</w:t>
      </w:r>
      <w:r>
        <w:rPr>
          <w:rFonts w:ascii="Google Sans Text;sans-serif" w:hAnsi="Google Sans Text;sans-serif"/>
        </w:rPr>
        <w:t>A</w:t>
      </w:r>
      <w:r>
        <w:rPr>
          <w:rFonts w:eastAsia="Google Sans Text;sans-serif"/>
        </w:rPr>
        <w:t>股博弈中，动态洞悉主力资金吸筹与派发的战略图谋。这是一套超越了常规因子挖掘、直击金融市场供求核心底层的顶级算法体系，必将在追求长期、稳定绝对收益的量化机构竞争中占据无可替代的制高点。</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CJK SC"/>
      <w:color w:val="auto"/>
      <w:kern w:val="2"/>
      <w:sz w:val="24"/>
      <w:szCs w:val="24"/>
      <w:lang w:val="en-US" w:eastAsia="zh-CN" w:bidi="hi-IN"/>
    </w:rPr>
  </w:style>
  <w:style w:type="paragraph" w:styleId="Heading1">
    <w:name w:val="Heading 1"/>
    <w:basedOn w:val="Style15"/>
    <w:next w:val="BodyText"/>
    <w:qFormat/>
    <w:pPr>
      <w:spacing w:before="240" w:after="120"/>
      <w:outlineLvl w:val="0"/>
    </w:pPr>
    <w:rPr>
      <w:rFonts w:ascii="Liberation Serif" w:hAnsi="Liberation Serif" w:eastAsia="Noto Serif CJK SC" w:cs="Noto Sans CJK SC"/>
      <w:b/>
      <w:bCs/>
      <w:sz w:val="48"/>
      <w:szCs w:val="48"/>
    </w:rPr>
  </w:style>
  <w:style w:type="paragraph" w:styleId="Heading2">
    <w:name w:val="Heading 2"/>
    <w:basedOn w:val="Style15"/>
    <w:next w:val="BodyText"/>
    <w:qFormat/>
    <w:pPr>
      <w:spacing w:before="200" w:after="120"/>
      <w:outlineLvl w:val="1"/>
    </w:pPr>
    <w:rPr>
      <w:rFonts w:ascii="Liberation Serif" w:hAnsi="Liberation Serif" w:eastAsia="Noto Serif CJK SC" w:cs="Noto Sans CJK SC"/>
      <w:b/>
      <w:bCs/>
      <w:sz w:val="36"/>
      <w:szCs w:val="36"/>
    </w:rPr>
  </w:style>
  <w:style w:type="character" w:styleId="Strong">
    <w:name w:val="Strong"/>
    <w:qFormat/>
    <w:rPr>
      <w:b/>
      <w:bCs/>
    </w:rPr>
  </w:style>
  <w:style w:type="character" w:styleId="Style12">
    <w:name w:val="源文本"/>
    <w:qFormat/>
    <w:rPr>
      <w:rFonts w:ascii="Liberation Mono" w:hAnsi="Liberation Mono" w:eastAsia="Noto Sans Mono CJK SC" w:cs="Liberation Mono"/>
    </w:rPr>
  </w:style>
  <w:style w:type="character" w:styleId="Style13">
    <w:name w:val="编号符号"/>
    <w:qFormat/>
    <w:rPr/>
  </w:style>
  <w:style w:type="character" w:styleId="Style14">
    <w:name w:val="项目符号"/>
    <w:qFormat/>
    <w:rPr>
      <w:rFonts w:ascii="OpenSymbol" w:hAnsi="OpenSymbol" w:eastAsia="OpenSymbol" w:cs="OpenSymbol"/>
    </w:rPr>
  </w:style>
  <w:style w:type="paragraph" w:styleId="Style15">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9357</Words>
  <Characters>11299</Characters>
  <CharactersWithSpaces>11528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2026-06-25T11:09:19Z</dcterms:created>
  <dc:creator/>
  <dc:description/>
  <dc:language>zh-CN</dc:language>
  <cp:lastModifiedBy/>
  <dcterms:modified xsi:type="dcterms:W3CDTF">2026-06-25T11:10:02Z</dcterms:modified>
  <cp:revision>1</cp:revision>
  <dc:subject/>
  <dc:title/>
</cp:coreProperties>
</file>