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eastAsia="微软雅黑"/>
          <w:b/>
          <w:color w:val="2E74B5"/>
          <w:sz w:val="48"/>
        </w:rPr>
        <w:t>国产化三维红外成像仿真产品规划文字稿</w:t>
      </w:r>
    </w:p>
    <w:p>
      <w:pPr>
        <w:spacing w:after="440"/>
        <w:jc w:val="center"/>
      </w:pPr>
      <w:r>
        <w:rPr>
          <w:rFonts w:ascii="Calibri" w:hAnsi="Calibri" w:eastAsia="微软雅黑"/>
          <w:color w:val="5F6B7A"/>
          <w:sz w:val="25"/>
        </w:rPr>
        <w:t>基于国产化 ARM 板卡、开源 3D 引擎与集团仿真资源的产品化平台及行业解决方案</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E8F0FB"/>
          </w:tcPr>
          <w:p>
            <w:pPr>
              <w:spacing w:after="80"/>
            </w:pPr>
            <w:r>
              <w:rPr>
                <w:rFonts w:ascii="Calibri" w:hAnsi="Calibri" w:eastAsia="微软雅黑"/>
                <w:b/>
                <w:color w:val="1F4D78"/>
                <w:sz w:val="23"/>
              </w:rPr>
              <w:t>建议立项口径</w:t>
            </w:r>
          </w:p>
          <w:p>
            <w:pPr>
              <w:spacing w:after="0" w:line="300" w:lineRule="auto"/>
            </w:pPr>
            <w:r>
              <w:rPr>
                <w:rFonts w:ascii="Calibri" w:hAnsi="Calibri" w:eastAsia="微软雅黑"/>
                <w:color w:val="0B2545"/>
                <w:sz w:val="21"/>
              </w:rPr>
              <w:t>本方向不宜定位为一次性项目交付，也不宜只做单点红外渲染 demo。更合适的定位是“国产化三维红外成像仿真产品平台”，以军工、低空经济、商业航天解决方案包作为首批商业化抓手，后续逐步接入 AFSIM、VR、虚幻 5、雷达成像和 AI 数据生成能力，形成公司传感器仿真产品线的一部分。</w:t>
            </w:r>
          </w:p>
        </w:tc>
      </w:tr>
    </w:tbl>
    <w:p>
      <w:pPr>
        <w:spacing w:after="40"/>
      </w:pPr>
    </w:p>
    <w:tbl>
      <w:tblPr>
        <w:tblW w:type="dxa" w:w="9360"/>
        <w:jc w:val="left"/>
        <w:tblLayout w:type="fixed"/>
        <w:tblLook w:firstColumn="1" w:firstRow="1" w:lastColumn="0" w:lastRow="0" w:noHBand="0" w:noVBand="1" w:val="04A0"/>
        <w:tblInd w:w="120" w:type="dxa"/>
      </w:tblPr>
      <w:tblGrid>
        <w:gridCol w:w="2200"/>
        <w:gridCol w:w="7160"/>
      </w:tblGrid>
      <w:tr>
        <w:tc>
          <w:tcPr>
            <w:tcW w:type="dxa" w:w="22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文档定位</w:t>
            </w:r>
          </w:p>
        </w:tc>
        <w:tc>
          <w:tcPr>
            <w:tcW w:type="dxa" w:w="7160"/>
            <w:vAlign w:val="center"/>
            <w:tcMar>
              <w:top w:w="80" w:type="dxa"/>
              <w:start w:w="120" w:type="dxa"/>
              <w:bottom w:w="80" w:type="dxa"/>
              <w:end w:w="120" w:type="dxa"/>
            </w:tcMar>
          </w:tcPr>
          <w:p>
            <w:pPr>
              <w:spacing w:after="0" w:line="276" w:lineRule="auto"/>
            </w:pPr>
            <w:r/>
            <w:r>
              <w:rPr>
                <w:rFonts w:ascii="Calibri" w:hAnsi="Calibri" w:eastAsia="微软雅黑"/>
                <w:b w:val="0"/>
                <w:color w:val="0B2545"/>
                <w:sz w:val="19"/>
              </w:rPr>
              <w:t>内部方向讨论稿 / 产品规划文字稿</w:t>
            </w:r>
          </w:p>
        </w:tc>
      </w:tr>
      <w:tr>
        <w:tc>
          <w:tcPr>
            <w:tcW w:type="dxa" w:w="22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对应 PPT</w:t>
            </w:r>
          </w:p>
        </w:tc>
        <w:tc>
          <w:tcPr>
            <w:tcW w:type="dxa" w:w="7160"/>
            <w:vAlign w:val="center"/>
            <w:tcMar>
              <w:top w:w="80" w:type="dxa"/>
              <w:start w:w="120" w:type="dxa"/>
              <w:bottom w:w="80" w:type="dxa"/>
              <w:end w:w="120" w:type="dxa"/>
            </w:tcMar>
          </w:tcPr>
          <w:p>
            <w:pPr>
              <w:spacing w:after="0" w:line="276" w:lineRule="auto"/>
            </w:pPr>
            <w:r/>
            <w:r>
              <w:rPr>
                <w:rFonts w:ascii="Calibri" w:hAnsi="Calibri" w:eastAsia="微软雅黑"/>
                <w:b w:val="0"/>
                <w:color w:val="0B2545"/>
                <w:sz w:val="19"/>
              </w:rPr>
              <w:t>HwaSimIR_IR_Product_Roadmap.pptx</w:t>
            </w:r>
          </w:p>
        </w:tc>
      </w:tr>
      <w:tr>
        <w:tc>
          <w:tcPr>
            <w:tcW w:type="dxa" w:w="22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主要来源</w:t>
            </w:r>
          </w:p>
        </w:tc>
        <w:tc>
          <w:tcPr>
            <w:tcW w:type="dxa" w:w="7160"/>
            <w:vAlign w:val="center"/>
            <w:tcMar>
              <w:top w:w="80" w:type="dxa"/>
              <w:start w:w="120" w:type="dxa"/>
              <w:bottom w:w="80" w:type="dxa"/>
              <w:end w:w="120" w:type="dxa"/>
            </w:tcMar>
          </w:tcPr>
          <w:p>
            <w:pPr>
              <w:spacing w:after="0" w:line="276" w:lineRule="auto"/>
            </w:pPr>
            <w:r/>
            <w:r>
              <w:rPr>
                <w:rFonts w:ascii="Calibri" w:hAnsi="Calibri" w:eastAsia="微软雅黑"/>
                <w:b w:val="0"/>
                <w:color w:val="0B2545"/>
                <w:sz w:val="19"/>
              </w:rPr>
              <w:t>申报表 V1.0、近期 HwaSimIR 工程积累、产品规划讨论要求</w:t>
            </w:r>
          </w:p>
        </w:tc>
      </w:tr>
      <w:tr>
        <w:tc>
          <w:tcPr>
            <w:tcW w:type="dxa" w:w="22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日期</w:t>
            </w:r>
          </w:p>
        </w:tc>
        <w:tc>
          <w:tcPr>
            <w:tcW w:type="dxa" w:w="7160"/>
            <w:vAlign w:val="center"/>
            <w:tcMar>
              <w:top w:w="80" w:type="dxa"/>
              <w:start w:w="120" w:type="dxa"/>
              <w:bottom w:w="80" w:type="dxa"/>
              <w:end w:w="120" w:type="dxa"/>
            </w:tcMar>
          </w:tcPr>
          <w:p>
            <w:pPr>
              <w:spacing w:after="0" w:line="276" w:lineRule="auto"/>
            </w:pPr>
            <w:r/>
            <w:r>
              <w:rPr>
                <w:rFonts w:ascii="Calibri" w:hAnsi="Calibri" w:eastAsia="微软雅黑"/>
                <w:b w:val="0"/>
                <w:color w:val="0B2545"/>
                <w:sz w:val="19"/>
              </w:rPr>
              <w:t>2026 年 06 月 07 日</w:t>
            </w:r>
          </w:p>
        </w:tc>
      </w:tr>
    </w:tbl>
    <w:p>
      <w:r>
        <w:br w:type="page"/>
      </w:r>
    </w:p>
    <w:p>
      <w:pPr>
        <w:pStyle w:val="Heading1"/>
      </w:pPr>
      <w:r>
        <w:rPr>
          <w:rFonts w:ascii="Calibri" w:hAnsi="Calibri" w:eastAsia="微软雅黑"/>
          <w:b/>
          <w:color w:val="2E74B5"/>
          <w:sz w:val="32"/>
        </w:rPr>
        <w:t>一、总体判断：产品平台为主，行业解决方案为抓手</w:t>
      </w:r>
    </w:p>
    <w:p>
      <w:pPr>
        <w:spacing w:before="0" w:after="160" w:line="320" w:lineRule="auto"/>
        <w:jc w:val="both"/>
      </w:pPr>
      <w:r>
        <w:rPr>
          <w:rFonts w:ascii="Calibri" w:hAnsi="Calibri" w:eastAsia="微软雅黑"/>
          <w:b w:val="0"/>
          <w:color w:val="0B2545"/>
          <w:sz w:val="22"/>
        </w:rPr>
        <w:t>三维场景红外成像仿真产品的核心价值，不只是把三维场景渲染成红外图像，而是为红外设备测试、目标识别算法验证、半实物仿真、训练评估和任务推演提供一个可重复、可配置、可解释的数字试验环境。若只把它理解为一个项目中的功能模块，后续容易陷入按客户需求反复定制、难以复用的状态；若只把它理解为一个通用软件产品，又容易脱离军工、低空、航天客户实际采购方式。因此建议采用“平台产品 + 行业方案包”的双层定位。</w:t>
      </w:r>
    </w:p>
    <w:p>
      <w:pPr>
        <w:spacing w:before="0" w:after="160" w:line="320" w:lineRule="auto"/>
        <w:jc w:val="both"/>
      </w:pPr>
      <w:r>
        <w:rPr>
          <w:rFonts w:ascii="Calibri" w:hAnsi="Calibri" w:eastAsia="微软雅黑"/>
          <w:b w:val="0"/>
          <w:color w:val="0B2545"/>
          <w:sz w:val="22"/>
        </w:rPr>
        <w:t>平台产品沉淀的是共性能力，包括红外物理模型、三维场景引擎、国产化 ARM 运行时、SDK/API、GUI 配置、模型库、材料库、测试报告和自动化验证工具链。行业方案包则面向具体客户场景进行包装，例如军工半实物测试方案、低空无人机红外感知验证方案、商业航天载荷仿真方案、安防应急演训方案。这样既能形成可销售的产品形态，也能保留解决方案交付所需的灵活性。</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EAF7F2"/>
          </w:tcPr>
          <w:p>
            <w:pPr>
              <w:spacing w:after="80"/>
            </w:pPr>
            <w:r>
              <w:rPr>
                <w:rFonts w:ascii="Calibri" w:hAnsi="Calibri" w:eastAsia="微软雅黑"/>
                <w:b/>
                <w:color w:val="1F4D78"/>
                <w:sz w:val="23"/>
              </w:rPr>
              <w:t>一句话定位</w:t>
            </w:r>
          </w:p>
          <w:p>
            <w:pPr>
              <w:spacing w:after="0" w:line="300" w:lineRule="auto"/>
            </w:pPr>
            <w:r>
              <w:rPr>
                <w:rFonts w:ascii="Calibri" w:hAnsi="Calibri" w:eastAsia="微软雅黑"/>
                <w:color w:val="0B2545"/>
                <w:sz w:val="21"/>
              </w:rPr>
              <w:t>面向军工、低空经济和商业航天的国产化三维红外成像仿真平台，提供从红外物理建模、场景生成、传感器成像到算法评估和系统集成的完整工具链。</w:t>
            </w:r>
          </w:p>
        </w:tc>
      </w:tr>
    </w:tbl>
    <w:p>
      <w:pPr>
        <w:spacing w:after="40"/>
      </w:pPr>
    </w:p>
    <w:p>
      <w:pPr>
        <w:pStyle w:val="Heading1"/>
      </w:pPr>
      <w:r>
        <w:rPr>
          <w:rFonts w:ascii="Calibri" w:hAnsi="Calibri" w:eastAsia="微软雅黑"/>
          <w:b/>
          <w:color w:val="2E74B5"/>
          <w:sz w:val="32"/>
        </w:rPr>
        <w:t>二、产品介绍：产品是什么，解决什么问题</w:t>
      </w:r>
    </w:p>
    <w:p>
      <w:pPr>
        <w:pStyle w:val="Heading2"/>
      </w:pPr>
      <w:r>
        <w:rPr>
          <w:rFonts w:ascii="Calibri" w:hAnsi="Calibri" w:eastAsia="微软雅黑"/>
          <w:b/>
          <w:color w:val="2E74B5"/>
          <w:sz w:val="26"/>
        </w:rPr>
        <w:t>2.1 产品基本形态</w:t>
      </w:r>
    </w:p>
    <w:p>
      <w:pPr>
        <w:spacing w:before="0" w:after="160" w:line="320" w:lineRule="auto"/>
        <w:jc w:val="both"/>
      </w:pPr>
      <w:r>
        <w:rPr>
          <w:rFonts w:ascii="Calibri" w:hAnsi="Calibri" w:eastAsia="微软雅黑"/>
          <w:b w:val="0"/>
          <w:color w:val="0B2545"/>
          <w:sz w:val="22"/>
        </w:rPr>
        <w:t>本产品面向三维场景中的红外成像仿真。用户输入三维场景、目标模型、材料参数、温度状态、大气条件、传感器参数和任务脚本，系统输出不同波段下的红外图像、图像序列、目标状态日志、仿真参数记录和测试报告。产品既可以作为独立工具使用，也可以作为仿真系统中的红外传感器插件接入 AFSIM、VR、虚幻 5 或半实物平台。</w:t>
      </w:r>
    </w:p>
    <w:p>
      <w:pPr>
        <w:spacing w:before="0" w:after="160" w:line="320" w:lineRule="auto"/>
        <w:jc w:val="both"/>
      </w:pPr>
      <w:r>
        <w:rPr>
          <w:rFonts w:ascii="Calibri" w:hAnsi="Calibri" w:eastAsia="微软雅黑"/>
          <w:b w:val="0"/>
          <w:color w:val="0B2545"/>
          <w:sz w:val="22"/>
        </w:rPr>
        <w:t>与传统视景软件相比，本产品的重点不是通用可见光画面，而是红外成像链路的可解释性和工程可交付性。红外图像的生成需要考虑目标温度、材料发射率、反射率、大气透过率、传感器波段、热源和亮点等因素。如果这些因素不能被配置、记录和回放，就很难支撑军工客户的试验验证和算法评估。因此，产品从一开始就应把“可配置、可追溯、可验收”作为核心设计原则。</w:t>
      </w:r>
    </w:p>
    <w:p>
      <w:pPr>
        <w:pStyle w:val="Heading2"/>
      </w:pPr>
      <w:r>
        <w:rPr>
          <w:rFonts w:ascii="Calibri" w:hAnsi="Calibri" w:eastAsia="微软雅黑"/>
          <w:b/>
          <w:color w:val="2E74B5"/>
          <w:sz w:val="26"/>
        </w:rPr>
        <w:t>2.2 产品与解决方案的关系</w:t>
      </w:r>
    </w:p>
    <w:tbl>
      <w:tblPr>
        <w:tblStyle w:val="TableGrid"/>
        <w:tblW w:type="dxa" w:w="9360"/>
        <w:jc w:val="left"/>
        <w:tblLayout w:type="fixed"/>
        <w:tblLook w:firstColumn="1" w:firstRow="1" w:lastColumn="0" w:lastRow="0" w:noHBand="0" w:noVBand="1" w:val="04A0"/>
        <w:tblInd w:w="120" w:type="dxa"/>
      </w:tblPr>
      <w:tblGrid>
        <w:gridCol w:w="1700"/>
        <w:gridCol w:w="4400"/>
        <w:gridCol w:w="3260"/>
      </w:tblGrid>
      <w:tr>
        <w:tc>
          <w:tcPr>
            <w:tcW w:type="dxa" w:w="1700"/>
            <w:vAlign w:val="center"/>
            <w:tcMar>
              <w:top w:w="80" w:type="dxa"/>
              <w:start w:w="120" w:type="dxa"/>
              <w:bottom w:w="80" w:type="dxa"/>
              <w:end w:w="120" w:type="dxa"/>
            </w:tcMar>
            <w:shd w:fill="E8F0FB"/>
          </w:tcPr>
          <w:p>
            <w:pPr>
              <w:spacing w:after="0" w:line="276" w:lineRule="auto"/>
              <w:jc w:val="center"/>
            </w:pPr>
            <w:r/>
            <w:r>
              <w:rPr>
                <w:rFonts w:ascii="Calibri" w:hAnsi="Calibri" w:eastAsia="微软雅黑"/>
                <w:b/>
                <w:color w:val="1F4D78"/>
                <w:sz w:val="19"/>
              </w:rPr>
              <w:t>形态</w:t>
            </w:r>
          </w:p>
        </w:tc>
        <w:tc>
          <w:tcPr>
            <w:tcW w:type="dxa" w:w="4400"/>
            <w:vAlign w:val="center"/>
            <w:tcMar>
              <w:top w:w="80" w:type="dxa"/>
              <w:start w:w="120" w:type="dxa"/>
              <w:bottom w:w="80" w:type="dxa"/>
              <w:end w:w="120" w:type="dxa"/>
            </w:tcMar>
            <w:shd w:fill="E8F0FB"/>
          </w:tcPr>
          <w:p>
            <w:pPr>
              <w:spacing w:after="0" w:line="276" w:lineRule="auto"/>
              <w:jc w:val="center"/>
            </w:pPr>
            <w:r/>
            <w:r>
              <w:rPr>
                <w:rFonts w:ascii="Calibri" w:hAnsi="Calibri" w:eastAsia="微软雅黑"/>
                <w:b/>
                <w:color w:val="1F4D78"/>
                <w:sz w:val="19"/>
              </w:rPr>
              <w:t>主要内容</w:t>
            </w:r>
          </w:p>
        </w:tc>
        <w:tc>
          <w:tcPr>
            <w:tcW w:type="dxa" w:w="3260"/>
            <w:vAlign w:val="center"/>
            <w:tcMar>
              <w:top w:w="80" w:type="dxa"/>
              <w:start w:w="120" w:type="dxa"/>
              <w:bottom w:w="80" w:type="dxa"/>
              <w:end w:w="120" w:type="dxa"/>
            </w:tcMar>
            <w:shd w:fill="E8F0FB"/>
          </w:tcPr>
          <w:p>
            <w:pPr>
              <w:spacing w:after="0" w:line="276" w:lineRule="auto"/>
              <w:jc w:val="center"/>
            </w:pPr>
            <w:r/>
            <w:r>
              <w:rPr>
                <w:rFonts w:ascii="Calibri" w:hAnsi="Calibri" w:eastAsia="微软雅黑"/>
                <w:b/>
                <w:color w:val="1F4D78"/>
                <w:sz w:val="19"/>
              </w:rPr>
              <w:t>商业意义</w:t>
            </w:r>
          </w:p>
        </w:tc>
      </w:tr>
      <w:tr>
        <w:tc>
          <w:tcPr>
            <w:tcW w:type="dxa" w:w="1700"/>
          </w:tcPr>
          <w:p>
            <w:pPr>
              <w:spacing w:after="0" w:line="276" w:lineRule="auto"/>
              <w:jc w:val="center"/>
            </w:pPr>
            <w:r/>
            <w:r>
              <w:rPr>
                <w:rFonts w:ascii="Calibri" w:hAnsi="Calibri" w:eastAsia="微软雅黑"/>
                <w:b w:val="0"/>
                <w:color w:val="0B2545"/>
                <w:sz w:val="18"/>
              </w:rPr>
              <w:t>平台产品</w:t>
            </w:r>
          </w:p>
        </w:tc>
        <w:tc>
          <w:tcPr>
            <w:tcW w:type="dxa" w:w="4400"/>
          </w:tcPr>
          <w:p>
            <w:pPr>
              <w:spacing w:after="0" w:line="276" w:lineRule="auto"/>
            </w:pPr>
            <w:r/>
            <w:r>
              <w:rPr>
                <w:rFonts w:ascii="Calibri" w:hAnsi="Calibri" w:eastAsia="微软雅黑"/>
                <w:b w:val="0"/>
                <w:color w:val="0B2545"/>
                <w:sz w:val="18"/>
              </w:rPr>
              <w:t>红外仿真内核、GUI、SDK/API、国产 ARM 运行时、材料/目标/大气模型库、自动化测试与报告。</w:t>
            </w:r>
          </w:p>
        </w:tc>
        <w:tc>
          <w:tcPr>
            <w:tcW w:type="dxa" w:w="3260"/>
          </w:tcPr>
          <w:p>
            <w:pPr>
              <w:spacing w:after="0" w:line="276" w:lineRule="auto"/>
            </w:pPr>
            <w:r/>
            <w:r>
              <w:rPr>
                <w:rFonts w:ascii="Calibri" w:hAnsi="Calibri" w:eastAsia="微软雅黑"/>
                <w:b w:val="0"/>
                <w:color w:val="0B2545"/>
                <w:sz w:val="18"/>
              </w:rPr>
              <w:t>形成可复用版本和产品授权，降低重复项目开发成本。</w:t>
            </w:r>
          </w:p>
        </w:tc>
      </w:tr>
      <w:tr>
        <w:tc>
          <w:tcPr>
            <w:tcW w:type="dxa" w:w="1700"/>
          </w:tcPr>
          <w:p>
            <w:pPr>
              <w:spacing w:after="0" w:line="276" w:lineRule="auto"/>
              <w:jc w:val="center"/>
            </w:pPr>
            <w:r/>
            <w:r>
              <w:rPr>
                <w:rFonts w:ascii="Calibri" w:hAnsi="Calibri" w:eastAsia="微软雅黑"/>
                <w:b w:val="0"/>
                <w:color w:val="0B2545"/>
                <w:sz w:val="18"/>
              </w:rPr>
              <w:t>行业方案包</w:t>
            </w:r>
          </w:p>
        </w:tc>
        <w:tc>
          <w:tcPr>
            <w:tcW w:type="dxa" w:w="4400"/>
          </w:tcPr>
          <w:p>
            <w:pPr>
              <w:spacing w:after="0" w:line="276" w:lineRule="auto"/>
            </w:pPr>
            <w:r/>
            <w:r>
              <w:rPr>
                <w:rFonts w:ascii="Calibri" w:hAnsi="Calibri" w:eastAsia="微软雅黑"/>
                <w:b w:val="0"/>
                <w:color w:val="0B2545"/>
                <w:sz w:val="18"/>
              </w:rPr>
              <w:t>军工半实物测试、低空无人机红外感知、商业航天载荷验证、安防应急演训、科研教学实验。</w:t>
            </w:r>
          </w:p>
        </w:tc>
        <w:tc>
          <w:tcPr>
            <w:tcW w:type="dxa" w:w="3260"/>
          </w:tcPr>
          <w:p>
            <w:pPr>
              <w:spacing w:after="0" w:line="276" w:lineRule="auto"/>
            </w:pPr>
            <w:r/>
            <w:r>
              <w:rPr>
                <w:rFonts w:ascii="Calibri" w:hAnsi="Calibri" w:eastAsia="微软雅黑"/>
                <w:b w:val="0"/>
                <w:color w:val="0B2545"/>
                <w:sz w:val="18"/>
              </w:rPr>
              <w:t>贴近客户预算和验收场景，带动平台能力持续迭代。</w:t>
            </w:r>
          </w:p>
        </w:tc>
      </w:tr>
      <w:tr>
        <w:tc>
          <w:tcPr>
            <w:tcW w:type="dxa" w:w="1700"/>
          </w:tcPr>
          <w:p>
            <w:pPr>
              <w:spacing w:after="0" w:line="276" w:lineRule="auto"/>
              <w:jc w:val="center"/>
            </w:pPr>
            <w:r/>
            <w:r>
              <w:rPr>
                <w:rFonts w:ascii="Calibri" w:hAnsi="Calibri" w:eastAsia="微软雅黑"/>
                <w:b w:val="0"/>
                <w:color w:val="0B2545"/>
                <w:sz w:val="18"/>
              </w:rPr>
              <w:t>长期平台化方向</w:t>
            </w:r>
          </w:p>
        </w:tc>
        <w:tc>
          <w:tcPr>
            <w:tcW w:type="dxa" w:w="4400"/>
          </w:tcPr>
          <w:p>
            <w:pPr>
              <w:spacing w:after="0" w:line="276" w:lineRule="auto"/>
            </w:pPr>
            <w:r/>
            <w:r>
              <w:rPr>
                <w:rFonts w:ascii="Calibri" w:hAnsi="Calibri" w:eastAsia="微软雅黑"/>
                <w:b w:val="0"/>
                <w:color w:val="0B2545"/>
                <w:sz w:val="18"/>
              </w:rPr>
              <w:t>红外 + 雷达 + 可见光多模态仿真，接入 AFSIM、VR、虚幻 5、AI 数据生成与自动评估。</w:t>
            </w:r>
          </w:p>
        </w:tc>
        <w:tc>
          <w:tcPr>
            <w:tcW w:type="dxa" w:w="3260"/>
          </w:tcPr>
          <w:p>
            <w:pPr>
              <w:spacing w:after="0" w:line="276" w:lineRule="auto"/>
            </w:pPr>
            <w:r/>
            <w:r>
              <w:rPr>
                <w:rFonts w:ascii="Calibri" w:hAnsi="Calibri" w:eastAsia="微软雅黑"/>
                <w:b w:val="0"/>
                <w:color w:val="0B2545"/>
                <w:sz w:val="18"/>
              </w:rPr>
              <w:t>形成集团级传感器仿真底座，支撑低空经济和商业航天新赛道。</w:t>
            </w:r>
          </w:p>
        </w:tc>
      </w:tr>
    </w:tbl>
    <w:p>
      <w:pPr>
        <w:spacing w:after="80"/>
      </w:pPr>
    </w:p>
    <w:p>
      <w:pPr>
        <w:pStyle w:val="Heading1"/>
      </w:pPr>
      <w:r>
        <w:rPr>
          <w:rFonts w:ascii="Calibri" w:hAnsi="Calibri" w:eastAsia="微软雅黑"/>
          <w:b/>
          <w:color w:val="2E74B5"/>
          <w:sz w:val="32"/>
        </w:rPr>
        <w:t>三、市场前景与具体用户</w:t>
      </w:r>
    </w:p>
    <w:p>
      <w:pPr>
        <w:spacing w:before="0" w:after="160" w:line="320" w:lineRule="auto"/>
        <w:jc w:val="both"/>
      </w:pPr>
      <w:r>
        <w:rPr>
          <w:rFonts w:ascii="Calibri" w:hAnsi="Calibri" w:eastAsia="微软雅黑"/>
          <w:b w:val="0"/>
          <w:color w:val="0B2545"/>
          <w:sz w:val="22"/>
        </w:rPr>
        <w:t>红外成像仿真的市场需求来自三个共同痛点：第一，实地试验成本高且组织周期长，尤其是军工装备、靶场试验、无人机低空场景和航天载荷验证；第二，真实场景不可完全复现，天气、时间、目标状态和背景环境都会影响测试结果；第三，国产化替代和自主可控要求提高，客户不希望核心仿真链路长期依赖国外闭源软件或单一 X86 环境。上述痛点决定了该产品不只是研发工具，也可以成为测试、训练、评估和数据生成的基础设施。</w:t>
      </w:r>
    </w:p>
    <w:tbl>
      <w:tblPr>
        <w:tblStyle w:val="TableGrid"/>
        <w:tblW w:type="dxa" w:w="9360"/>
        <w:jc w:val="left"/>
        <w:tblLayout w:type="fixed"/>
        <w:tblLook w:firstColumn="1" w:firstRow="1" w:lastColumn="0" w:lastRow="0" w:noHBand="0" w:noVBand="1" w:val="04A0"/>
        <w:tblInd w:w="120" w:type="dxa"/>
      </w:tblPr>
      <w:tblGrid>
        <w:gridCol w:w="1300"/>
        <w:gridCol w:w="2100"/>
        <w:gridCol w:w="3100"/>
        <w:gridCol w:w="2860"/>
      </w:tblGrid>
      <w:tr>
        <w:tc>
          <w:tcPr>
            <w:tcW w:type="dxa" w:w="13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市场方向</w:t>
            </w:r>
          </w:p>
        </w:tc>
        <w:tc>
          <w:tcPr>
            <w:tcW w:type="dxa" w:w="21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具体用户</w:t>
            </w:r>
          </w:p>
        </w:tc>
        <w:tc>
          <w:tcPr>
            <w:tcW w:type="dxa" w:w="31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典型需求</w:t>
            </w:r>
          </w:p>
        </w:tc>
        <w:tc>
          <w:tcPr>
            <w:tcW w:type="dxa" w:w="286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切入判断</w:t>
            </w:r>
          </w:p>
        </w:tc>
      </w:tr>
      <w:tr>
        <w:tc>
          <w:tcPr>
            <w:tcW w:type="dxa" w:w="1300"/>
          </w:tcPr>
          <w:p>
            <w:pPr>
              <w:spacing w:after="0" w:line="276" w:lineRule="auto"/>
              <w:jc w:val="center"/>
            </w:pPr>
            <w:r/>
            <w:r>
              <w:rPr>
                <w:rFonts w:ascii="Calibri" w:hAnsi="Calibri" w:eastAsia="微软雅黑"/>
                <w:b w:val="0"/>
                <w:color w:val="0B2545"/>
                <w:sz w:val="17"/>
              </w:rPr>
              <w:t>军工装备</w:t>
            </w:r>
          </w:p>
        </w:tc>
        <w:tc>
          <w:tcPr>
            <w:tcW w:type="dxa" w:w="2100"/>
          </w:tcPr>
          <w:p>
            <w:pPr>
              <w:spacing w:after="0" w:line="276" w:lineRule="auto"/>
            </w:pPr>
            <w:r/>
            <w:r>
              <w:rPr>
                <w:rFonts w:ascii="Calibri" w:hAnsi="Calibri" w:eastAsia="微软雅黑"/>
                <w:b w:val="0"/>
                <w:color w:val="0B2545"/>
                <w:sz w:val="17"/>
              </w:rPr>
              <w:t>军工研究所、总体单位、红外设备厂商、靶场/试验基地</w:t>
            </w:r>
          </w:p>
        </w:tc>
        <w:tc>
          <w:tcPr>
            <w:tcW w:type="dxa" w:w="3100"/>
          </w:tcPr>
          <w:p>
            <w:pPr>
              <w:spacing w:after="0" w:line="276" w:lineRule="auto"/>
            </w:pPr>
            <w:r/>
            <w:r>
              <w:rPr>
                <w:rFonts w:ascii="Calibri" w:hAnsi="Calibri" w:eastAsia="微软雅黑"/>
                <w:b w:val="0"/>
                <w:color w:val="0B2545"/>
                <w:sz w:val="17"/>
              </w:rPr>
              <w:t>红外导引、目标识别、半实物仿真、实验室测试、靶场前置验证。</w:t>
            </w:r>
          </w:p>
        </w:tc>
        <w:tc>
          <w:tcPr>
            <w:tcW w:type="dxa" w:w="2860"/>
          </w:tcPr>
          <w:p>
            <w:pPr>
              <w:spacing w:after="0" w:line="276" w:lineRule="auto"/>
            </w:pPr>
            <w:r/>
            <w:r>
              <w:rPr>
                <w:rFonts w:ascii="Calibri" w:hAnsi="Calibri" w:eastAsia="微软雅黑"/>
                <w:b w:val="0"/>
                <w:color w:val="0B2545"/>
                <w:sz w:val="17"/>
              </w:rPr>
              <w:t>第一优先级。需求刚性强、预算相对明确、国产化约束强，适合定义 V1.0 验收标准。</w:t>
            </w:r>
          </w:p>
        </w:tc>
      </w:tr>
      <w:tr>
        <w:tc>
          <w:tcPr>
            <w:tcW w:type="dxa" w:w="1300"/>
          </w:tcPr>
          <w:p>
            <w:pPr>
              <w:spacing w:after="0" w:line="276" w:lineRule="auto"/>
              <w:jc w:val="center"/>
            </w:pPr>
            <w:r/>
            <w:r>
              <w:rPr>
                <w:rFonts w:ascii="Calibri" w:hAnsi="Calibri" w:eastAsia="微软雅黑"/>
                <w:b w:val="0"/>
                <w:color w:val="0B2545"/>
                <w:sz w:val="17"/>
              </w:rPr>
              <w:t>低空经济</w:t>
            </w:r>
          </w:p>
        </w:tc>
        <w:tc>
          <w:tcPr>
            <w:tcW w:type="dxa" w:w="2100"/>
          </w:tcPr>
          <w:p>
            <w:pPr>
              <w:spacing w:after="0" w:line="276" w:lineRule="auto"/>
            </w:pPr>
            <w:r/>
            <w:r>
              <w:rPr>
                <w:rFonts w:ascii="Calibri" w:hAnsi="Calibri" w:eastAsia="微软雅黑"/>
                <w:b w:val="0"/>
                <w:color w:val="0B2545"/>
                <w:sz w:val="17"/>
              </w:rPr>
              <w:t>低空监管平台、无人机运营商、机场/园区/港口、反无人机集成商</w:t>
            </w:r>
          </w:p>
        </w:tc>
        <w:tc>
          <w:tcPr>
            <w:tcW w:type="dxa" w:w="3100"/>
          </w:tcPr>
          <w:p>
            <w:pPr>
              <w:spacing w:after="0" w:line="276" w:lineRule="auto"/>
            </w:pPr>
            <w:r/>
            <w:r>
              <w:rPr>
                <w:rFonts w:ascii="Calibri" w:hAnsi="Calibri" w:eastAsia="微软雅黑"/>
                <w:b w:val="0"/>
                <w:color w:val="0B2545"/>
                <w:sz w:val="17"/>
              </w:rPr>
              <w:t>无人机目标识别、红外/可见光/雷达融合感知、低空安全数字孪生。</w:t>
            </w:r>
          </w:p>
        </w:tc>
        <w:tc>
          <w:tcPr>
            <w:tcW w:type="dxa" w:w="2860"/>
          </w:tcPr>
          <w:p>
            <w:pPr>
              <w:spacing w:after="0" w:line="276" w:lineRule="auto"/>
            </w:pPr>
            <w:r/>
            <w:r>
              <w:rPr>
                <w:rFonts w:ascii="Calibri" w:hAnsi="Calibri" w:eastAsia="微软雅黑"/>
                <w:b w:val="0"/>
                <w:color w:val="0B2545"/>
                <w:sz w:val="17"/>
              </w:rPr>
              <w:t>第二优先级。市场增长快，但需求分散，适合打包场景库和解决方案。</w:t>
            </w:r>
          </w:p>
        </w:tc>
      </w:tr>
      <w:tr>
        <w:tc>
          <w:tcPr>
            <w:tcW w:type="dxa" w:w="1300"/>
          </w:tcPr>
          <w:p>
            <w:pPr>
              <w:spacing w:after="0" w:line="276" w:lineRule="auto"/>
              <w:jc w:val="center"/>
            </w:pPr>
            <w:r/>
            <w:r>
              <w:rPr>
                <w:rFonts w:ascii="Calibri" w:hAnsi="Calibri" w:eastAsia="微软雅黑"/>
                <w:b w:val="0"/>
                <w:color w:val="0B2545"/>
                <w:sz w:val="17"/>
              </w:rPr>
              <w:t>商业航天</w:t>
            </w:r>
          </w:p>
        </w:tc>
        <w:tc>
          <w:tcPr>
            <w:tcW w:type="dxa" w:w="2100"/>
          </w:tcPr>
          <w:p>
            <w:pPr>
              <w:spacing w:after="0" w:line="276" w:lineRule="auto"/>
            </w:pPr>
            <w:r/>
            <w:r>
              <w:rPr>
                <w:rFonts w:ascii="Calibri" w:hAnsi="Calibri" w:eastAsia="微软雅黑"/>
                <w:b w:val="0"/>
                <w:color w:val="0B2545"/>
                <w:sz w:val="17"/>
              </w:rPr>
              <w:t>卫星总体单位、载荷研制单位、商业航天公司、地面仿真团队</w:t>
            </w:r>
          </w:p>
        </w:tc>
        <w:tc>
          <w:tcPr>
            <w:tcW w:type="dxa" w:w="3100"/>
          </w:tcPr>
          <w:p>
            <w:pPr>
              <w:spacing w:after="0" w:line="276" w:lineRule="auto"/>
            </w:pPr>
            <w:r/>
            <w:r>
              <w:rPr>
                <w:rFonts w:ascii="Calibri" w:hAnsi="Calibri" w:eastAsia="微软雅黑"/>
                <w:b w:val="0"/>
                <w:color w:val="0B2545"/>
                <w:sz w:val="17"/>
              </w:rPr>
              <w:t>载荷算法上星前验证、星地红外场景、空间目标和地物红外背景仿真。</w:t>
            </w:r>
          </w:p>
        </w:tc>
        <w:tc>
          <w:tcPr>
            <w:tcW w:type="dxa" w:w="2860"/>
          </w:tcPr>
          <w:p>
            <w:pPr>
              <w:spacing w:after="0" w:line="276" w:lineRule="auto"/>
            </w:pPr>
            <w:r/>
            <w:r>
              <w:rPr>
                <w:rFonts w:ascii="Calibri" w:hAnsi="Calibri" w:eastAsia="微软雅黑"/>
                <w:b w:val="0"/>
                <w:color w:val="0B2545"/>
                <w:sz w:val="17"/>
              </w:rPr>
              <w:t>战略储备方向。可与公司航天业务、任务仿真和载荷验证能力协同。</w:t>
            </w:r>
          </w:p>
        </w:tc>
      </w:tr>
      <w:tr>
        <w:tc>
          <w:tcPr>
            <w:tcW w:type="dxa" w:w="1300"/>
          </w:tcPr>
          <w:p>
            <w:pPr>
              <w:spacing w:after="0" w:line="276" w:lineRule="auto"/>
              <w:jc w:val="center"/>
            </w:pPr>
            <w:r/>
            <w:r>
              <w:rPr>
                <w:rFonts w:ascii="Calibri" w:hAnsi="Calibri" w:eastAsia="微软雅黑"/>
                <w:b w:val="0"/>
                <w:color w:val="0B2545"/>
                <w:sz w:val="17"/>
              </w:rPr>
              <w:t>安防应急与工业</w:t>
            </w:r>
          </w:p>
        </w:tc>
        <w:tc>
          <w:tcPr>
            <w:tcW w:type="dxa" w:w="2100"/>
          </w:tcPr>
          <w:p>
            <w:pPr>
              <w:spacing w:after="0" w:line="276" w:lineRule="auto"/>
            </w:pPr>
            <w:r/>
            <w:r>
              <w:rPr>
                <w:rFonts w:ascii="Calibri" w:hAnsi="Calibri" w:eastAsia="微软雅黑"/>
                <w:b w:val="0"/>
                <w:color w:val="0B2545"/>
                <w:sz w:val="17"/>
              </w:rPr>
              <w:t>边海防、能源电力、消防应急、重点设施安防、工业检测企业</w:t>
            </w:r>
          </w:p>
        </w:tc>
        <w:tc>
          <w:tcPr>
            <w:tcW w:type="dxa" w:w="3100"/>
          </w:tcPr>
          <w:p>
            <w:pPr>
              <w:spacing w:after="0" w:line="276" w:lineRule="auto"/>
            </w:pPr>
            <w:r/>
            <w:r>
              <w:rPr>
                <w:rFonts w:ascii="Calibri" w:hAnsi="Calibri" w:eastAsia="微软雅黑"/>
                <w:b w:val="0"/>
                <w:color w:val="0B2545"/>
                <w:sz w:val="17"/>
              </w:rPr>
              <w:t>夜间、烟雾、复杂天气、热异常目标和监控算法评测。</w:t>
            </w:r>
          </w:p>
        </w:tc>
        <w:tc>
          <w:tcPr>
            <w:tcW w:type="dxa" w:w="2860"/>
          </w:tcPr>
          <w:p>
            <w:pPr>
              <w:spacing w:after="0" w:line="276" w:lineRule="auto"/>
            </w:pPr>
            <w:r/>
            <w:r>
              <w:rPr>
                <w:rFonts w:ascii="Calibri" w:hAnsi="Calibri" w:eastAsia="微软雅黑"/>
                <w:b w:val="0"/>
                <w:color w:val="0B2545"/>
                <w:sz w:val="17"/>
              </w:rPr>
              <w:t>适合作为产品成熟后的横向复制市场。</w:t>
            </w:r>
          </w:p>
        </w:tc>
      </w:tr>
      <w:tr>
        <w:tc>
          <w:tcPr>
            <w:tcW w:type="dxa" w:w="1300"/>
          </w:tcPr>
          <w:p>
            <w:pPr>
              <w:spacing w:after="0" w:line="276" w:lineRule="auto"/>
              <w:jc w:val="center"/>
            </w:pPr>
            <w:r/>
            <w:r>
              <w:rPr>
                <w:rFonts w:ascii="Calibri" w:hAnsi="Calibri" w:eastAsia="微软雅黑"/>
                <w:b w:val="0"/>
                <w:color w:val="0B2545"/>
                <w:sz w:val="17"/>
              </w:rPr>
              <w:t>科研教育与内部应用</w:t>
            </w:r>
          </w:p>
        </w:tc>
        <w:tc>
          <w:tcPr>
            <w:tcW w:type="dxa" w:w="2100"/>
          </w:tcPr>
          <w:p>
            <w:pPr>
              <w:spacing w:after="0" w:line="276" w:lineRule="auto"/>
            </w:pPr>
            <w:r/>
            <w:r>
              <w:rPr>
                <w:rFonts w:ascii="Calibri" w:hAnsi="Calibri" w:eastAsia="微软雅黑"/>
                <w:b w:val="0"/>
                <w:color w:val="0B2545"/>
                <w:sz w:val="17"/>
              </w:rPr>
              <w:t>高校、科研院所、公司内部测试部门</w:t>
            </w:r>
          </w:p>
        </w:tc>
        <w:tc>
          <w:tcPr>
            <w:tcW w:type="dxa" w:w="3100"/>
          </w:tcPr>
          <w:p>
            <w:pPr>
              <w:spacing w:after="0" w:line="276" w:lineRule="auto"/>
            </w:pPr>
            <w:r/>
            <w:r>
              <w:rPr>
                <w:rFonts w:ascii="Calibri" w:hAnsi="Calibri" w:eastAsia="微软雅黑"/>
                <w:b w:val="0"/>
                <w:color w:val="0B2545"/>
                <w:sz w:val="17"/>
              </w:rPr>
              <w:t>教学实验、算法研究、模型验证、内部降本增效。</w:t>
            </w:r>
          </w:p>
        </w:tc>
        <w:tc>
          <w:tcPr>
            <w:tcW w:type="dxa" w:w="2860"/>
          </w:tcPr>
          <w:p>
            <w:pPr>
              <w:spacing w:after="0" w:line="276" w:lineRule="auto"/>
            </w:pPr>
            <w:r/>
            <w:r>
              <w:rPr>
                <w:rFonts w:ascii="Calibri" w:hAnsi="Calibri" w:eastAsia="微软雅黑"/>
                <w:b w:val="0"/>
                <w:color w:val="0B2545"/>
                <w:sz w:val="17"/>
              </w:rPr>
              <w:t>适合作为早期反馈和模型库建设场景。</w:t>
            </w:r>
          </w:p>
        </w:tc>
      </w:tr>
    </w:tbl>
    <w:p>
      <w:pPr>
        <w:spacing w:after="80"/>
      </w:pPr>
    </w:p>
    <w:p>
      <w:pPr>
        <w:pStyle w:val="Heading2"/>
      </w:pPr>
      <w:r>
        <w:rPr>
          <w:rFonts w:ascii="Calibri" w:hAnsi="Calibri" w:eastAsia="微软雅黑"/>
          <w:b/>
          <w:color w:val="2E74B5"/>
          <w:sz w:val="26"/>
        </w:rPr>
        <w:t>3.1 三类首批场景的讲述方式</w:t>
      </w:r>
    </w:p>
    <w:p>
      <w:pPr>
        <w:spacing w:before="0" w:after="160" w:line="320" w:lineRule="auto"/>
        <w:jc w:val="both"/>
      </w:pPr>
      <w:r>
        <w:rPr>
          <w:rFonts w:ascii="Calibri" w:hAnsi="Calibri" w:eastAsia="微软雅黑"/>
          <w:b w:val="0"/>
          <w:color w:val="0B2545"/>
          <w:sz w:val="22"/>
        </w:rPr>
        <w:t>军工场景可以这样讲：客户真正需要的不是一张好看的红外图，而是在实验室里尽量复现靶场前置试验条件。红外设备厂商、导引头算法团队或总体单位可以通过本产品配置目标、背景、距离、姿态、发动机状态、命中状态和大气条件，生成可重复的红外图像序列，用于算法验证、设备联调和试验方案预演。这样做的价值在于把原本必须到靶场才能发现的问题前置到实验室阶段，降低试验成本和迭代周期。</w:t>
      </w:r>
    </w:p>
    <w:p>
      <w:pPr>
        <w:spacing w:before="0" w:after="160" w:line="320" w:lineRule="auto"/>
        <w:jc w:val="both"/>
      </w:pPr>
      <w:r>
        <w:rPr>
          <w:rFonts w:ascii="Calibri" w:hAnsi="Calibri" w:eastAsia="微软雅黑"/>
          <w:b w:val="0"/>
          <w:color w:val="0B2545"/>
          <w:sz w:val="22"/>
        </w:rPr>
        <w:t>低空经济场景可以这样讲：无人机低空监管和反制系统需要在夜间、逆光、烟雾、复杂背景和不同天气条件下识别小目标，真实数据采集成本高、覆盖不全且存在安全风险。红外仿真平台可以生成不同高度、速度、姿态、载荷和背景下的无人机红外数据，并与雷达、可见光、电子围栏或管控平台联动，服务低空安全方案验证和算法训练。</w:t>
      </w:r>
    </w:p>
    <w:p>
      <w:pPr>
        <w:spacing w:before="0" w:after="160" w:line="320" w:lineRule="auto"/>
        <w:jc w:val="both"/>
      </w:pPr>
      <w:r>
        <w:rPr>
          <w:rFonts w:ascii="Calibri" w:hAnsi="Calibri" w:eastAsia="微软雅黑"/>
          <w:b w:val="0"/>
          <w:color w:val="0B2545"/>
          <w:sz w:val="22"/>
        </w:rPr>
        <w:t>商业航天场景可以这样讲：卫星载荷和星地仿真团队在上星前需要评估传感器在不同轨道、观测角度、地物背景和大气条件下的成像效果。红外仿真产品可以作为载荷算法和地面仿真系统之间的成像通道，提供星地红外场景、目标热特征和图像序列，帮助商业航天客户降低上星前验证风险。该方向短期可能不如军工试点直接，但与公司商业航天战略高度相关，适合作为第二阶段重点拓展。</w:t>
      </w:r>
    </w:p>
    <w:p>
      <w:pPr>
        <w:pStyle w:val="Heading1"/>
      </w:pPr>
      <w:r>
        <w:rPr>
          <w:rFonts w:ascii="Calibri" w:hAnsi="Calibri" w:eastAsia="微软雅黑"/>
          <w:b/>
          <w:color w:val="2E74B5"/>
          <w:sz w:val="32"/>
        </w:rPr>
        <w:t>四、核心技术点与已有基础</w:t>
      </w:r>
    </w:p>
    <w:p>
      <w:pPr>
        <w:spacing w:before="0" w:after="160" w:line="320" w:lineRule="auto"/>
        <w:jc w:val="both"/>
      </w:pPr>
      <w:r>
        <w:rPr>
          <w:rFonts w:ascii="Calibri" w:hAnsi="Calibri" w:eastAsia="微软雅黑"/>
          <w:b w:val="0"/>
          <w:color w:val="0B2545"/>
          <w:sz w:val="22"/>
        </w:rPr>
        <w:t>HwaSimIR 当前已经具备产品化起步的技术基础。仓库中包含 C++、Qt、Panda3D、OpenCV、Eigen 等工程基础，能够支撑桌面工具、三维场景加载、图像处理和原生性能优化。近期工作进一步把红外成像链路拆解成可验证的阶段：Stage 3 保持 MODTRAN tau-only 的受控实验链路，用于大气透过率加载与调试；Stage 4 将发动机热斑 ThermalHotspot 与武器命中亮点 BrightSpot 分离，并通过 targetType + targetPlatID + targetID 的全协议键解决目标映射问题。这些工作虽然还不是完整产品，但已经体现出一个重要方向：产品不能只看渲染结果，还要能解释每个红外输出来自哪些输入状态。</w:t>
      </w:r>
    </w:p>
    <w:p>
      <w:pPr>
        <w:pStyle w:val="Heading2"/>
      </w:pPr>
      <w:r>
        <w:rPr>
          <w:rFonts w:ascii="Calibri" w:hAnsi="Calibri" w:eastAsia="微软雅黑"/>
          <w:b/>
          <w:color w:val="2E74B5"/>
          <w:sz w:val="26"/>
        </w:rPr>
        <w:t>4.1 红外物理模型</w:t>
      </w:r>
    </w:p>
    <w:p>
      <w:pPr>
        <w:spacing w:before="0" w:after="160" w:line="320" w:lineRule="auto"/>
        <w:jc w:val="both"/>
      </w:pPr>
      <w:r>
        <w:rPr>
          <w:rFonts w:ascii="Calibri" w:hAnsi="Calibri" w:eastAsia="微软雅黑"/>
          <w:b w:val="0"/>
          <w:color w:val="0B2545"/>
          <w:sz w:val="22"/>
        </w:rPr>
        <w:t>红外物理模型是产品的核心。它需要覆盖目标温度场、材料发射率、反射率、大气透过率、传感器波段、背景辐射和局部热源等因素。V1.0 阶段建议先形成工程可用的最小闭环：支持短波、中波、长波三个典型波段，支持目标基础温度与局部热斑配置，支持大气透过率对成像灰度的影响，并将关键输入和输出记录到日志中。后续再逐步接入更精细的辐亮度链路、太阳反射、天空背景、路径辐射和传感器噪声模型。</w:t>
      </w:r>
    </w:p>
    <w:p>
      <w:pPr>
        <w:pStyle w:val="Heading2"/>
      </w:pPr>
      <w:r>
        <w:rPr>
          <w:rFonts w:ascii="Calibri" w:hAnsi="Calibri" w:eastAsia="微软雅黑"/>
          <w:b/>
          <w:color w:val="2E74B5"/>
          <w:sz w:val="26"/>
        </w:rPr>
        <w:t>4.2 三维场景与渲染引擎</w:t>
      </w:r>
    </w:p>
    <w:p>
      <w:pPr>
        <w:spacing w:before="0" w:after="160" w:line="320" w:lineRule="auto"/>
        <w:jc w:val="both"/>
      </w:pPr>
      <w:r>
        <w:rPr>
          <w:rFonts w:ascii="Calibri" w:hAnsi="Calibri" w:eastAsia="微软雅黑"/>
          <w:b w:val="0"/>
          <w:color w:val="0B2545"/>
          <w:sz w:val="22"/>
        </w:rPr>
        <w:t>Panda3D 适合作为早期轻量化和国产化 ARM 适配路线，因为它开源、可控、工程成本较低，适合把红外模型嵌入到现有 C++/Python 生态中。与此同时，虚幻 5 不应被排除在产品路线之外。UE5 更适合作为下一代高保真场景、大规模地形、复杂光照和沉浸式交互路线，尤其适用于低空城市/园区场景、训练演示、客户展示和高质量数据生成。建议形成双路线：Panda3D/ARM 负责轻量部署和工程交付，UE5 负责高保真场景和长期视觉竞争力。</w:t>
      </w:r>
    </w:p>
    <w:p>
      <w:pPr>
        <w:pStyle w:val="Heading2"/>
      </w:pPr>
      <w:r>
        <w:rPr>
          <w:rFonts w:ascii="Calibri" w:hAnsi="Calibri" w:eastAsia="微软雅黑"/>
          <w:b/>
          <w:color w:val="2E74B5"/>
          <w:sz w:val="26"/>
        </w:rPr>
        <w:t>4.3 目标状态、协议与可验证性</w:t>
      </w:r>
    </w:p>
    <w:p>
      <w:pPr>
        <w:spacing w:before="0" w:after="160" w:line="320" w:lineRule="auto"/>
        <w:jc w:val="both"/>
      </w:pPr>
      <w:r>
        <w:rPr>
          <w:rFonts w:ascii="Calibri" w:hAnsi="Calibri" w:eastAsia="微软雅黑"/>
          <w:b w:val="0"/>
          <w:color w:val="0B2545"/>
          <w:sz w:val="22"/>
        </w:rPr>
        <w:t>红外仿真产品要接入任务系统，就必须处理目标状态、平台编号、武器状态、视线状态和传感器参数。近期 HwaSimIR 工作中，目标映射已经从单一 targetID 扩展到 targetType + targetPlatID + targetID 的完整协议键，这一点非常重要。它意味着系统可以区分不同平台、不同类型下的同名目标，避免错误目标被看向、命中或触发亮点。产品化时应继续沿着这个方向，把协议适配层作为独立模块，支持 UDP、二进制协议、JSON、DIS/HLA 或 AFSIM 接口。</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E8F0FB"/>
          </w:tcPr>
          <w:p>
            <w:pPr>
              <w:spacing w:after="80"/>
            </w:pPr>
            <w:r>
              <w:rPr>
                <w:rFonts w:ascii="Calibri" w:hAnsi="Calibri" w:eastAsia="微软雅黑"/>
                <w:b/>
                <w:color w:val="1F4D78"/>
                <w:sz w:val="23"/>
              </w:rPr>
              <w:t>已有基础转产品的关键</w:t>
            </w:r>
          </w:p>
          <w:p>
            <w:pPr>
              <w:spacing w:after="0" w:line="300" w:lineRule="auto"/>
            </w:pPr>
            <w:r>
              <w:rPr>
                <w:rFonts w:ascii="Calibri" w:hAnsi="Calibri" w:eastAsia="微软雅黑"/>
                <w:color w:val="0B2545"/>
                <w:sz w:val="21"/>
              </w:rPr>
              <w:t>从工程角度看，现阶段不是简单补 UI，而是要把红外模型、目标协议、运行配置、日志诊断、自动化 smoke 测试和验收指标打包成产品能力。只有做到“输入可配置、过程可追踪、结果可复现、问题可定位”，才能支撑军工客户验收。</w:t>
            </w:r>
          </w:p>
        </w:tc>
      </w:tr>
    </w:tbl>
    <w:p>
      <w:pPr>
        <w:spacing w:after="40"/>
      </w:pPr>
    </w:p>
    <w:p>
      <w:pPr>
        <w:pStyle w:val="Heading1"/>
      </w:pPr>
      <w:r>
        <w:rPr>
          <w:rFonts w:ascii="Calibri" w:hAnsi="Calibri" w:eastAsia="微软雅黑"/>
          <w:b/>
          <w:color w:val="2E74B5"/>
          <w:sz w:val="32"/>
        </w:rPr>
        <w:t>五、产品模块设计</w:t>
      </w:r>
    </w:p>
    <w:tbl>
      <w:tblPr>
        <w:tblStyle w:val="TableGrid"/>
        <w:tblW w:type="dxa" w:w="9360"/>
        <w:jc w:val="left"/>
        <w:tblLayout w:type="fixed"/>
        <w:tblLook w:firstColumn="1" w:firstRow="1" w:lastColumn="0" w:lastRow="0" w:noHBand="0" w:noVBand="1" w:val="04A0"/>
        <w:tblInd w:w="120" w:type="dxa"/>
      </w:tblPr>
      <w:tblGrid>
        <w:gridCol w:w="1450"/>
        <w:gridCol w:w="3500"/>
        <w:gridCol w:w="2550"/>
        <w:gridCol w:w="1860"/>
      </w:tblGrid>
      <w:tr>
        <w:tc>
          <w:tcPr>
            <w:tcW w:type="dxa" w:w="1450"/>
            <w:vAlign w:val="center"/>
            <w:tcMar>
              <w:top w:w="80" w:type="dxa"/>
              <w:start w:w="120" w:type="dxa"/>
              <w:bottom w:w="80" w:type="dxa"/>
              <w:end w:w="120" w:type="dxa"/>
            </w:tcMar>
            <w:shd w:fill="E8F0FB"/>
          </w:tcPr>
          <w:p>
            <w:pPr>
              <w:spacing w:after="0" w:line="276" w:lineRule="auto"/>
              <w:jc w:val="center"/>
            </w:pPr>
            <w:r/>
            <w:r>
              <w:rPr>
                <w:rFonts w:ascii="Calibri" w:hAnsi="Calibri" w:eastAsia="微软雅黑"/>
                <w:b/>
                <w:color w:val="1F4D78"/>
                <w:sz w:val="19"/>
              </w:rPr>
              <w:t>模块</w:t>
            </w:r>
          </w:p>
        </w:tc>
        <w:tc>
          <w:tcPr>
            <w:tcW w:type="dxa" w:w="3500"/>
            <w:vAlign w:val="center"/>
            <w:tcMar>
              <w:top w:w="80" w:type="dxa"/>
              <w:start w:w="120" w:type="dxa"/>
              <w:bottom w:w="80" w:type="dxa"/>
              <w:end w:w="120" w:type="dxa"/>
            </w:tcMar>
            <w:shd w:fill="E8F0FB"/>
          </w:tcPr>
          <w:p>
            <w:pPr>
              <w:spacing w:after="0" w:line="276" w:lineRule="auto"/>
              <w:jc w:val="center"/>
            </w:pPr>
            <w:r/>
            <w:r>
              <w:rPr>
                <w:rFonts w:ascii="Calibri" w:hAnsi="Calibri" w:eastAsia="微软雅黑"/>
                <w:b/>
                <w:color w:val="1F4D78"/>
                <w:sz w:val="19"/>
              </w:rPr>
              <w:t>职责说明</w:t>
            </w:r>
          </w:p>
        </w:tc>
        <w:tc>
          <w:tcPr>
            <w:tcW w:type="dxa" w:w="2550"/>
            <w:vAlign w:val="center"/>
            <w:tcMar>
              <w:top w:w="80" w:type="dxa"/>
              <w:start w:w="120" w:type="dxa"/>
              <w:bottom w:w="80" w:type="dxa"/>
              <w:end w:w="120" w:type="dxa"/>
            </w:tcMar>
            <w:shd w:fill="E8F0FB"/>
          </w:tcPr>
          <w:p>
            <w:pPr>
              <w:spacing w:after="0" w:line="276" w:lineRule="auto"/>
              <w:jc w:val="center"/>
            </w:pPr>
            <w:r/>
            <w:r>
              <w:rPr>
                <w:rFonts w:ascii="Calibri" w:hAnsi="Calibri" w:eastAsia="微软雅黑"/>
                <w:b/>
                <w:color w:val="1F4D78"/>
                <w:sz w:val="19"/>
              </w:rPr>
              <w:t>关键技术</w:t>
            </w:r>
          </w:p>
        </w:tc>
        <w:tc>
          <w:tcPr>
            <w:tcW w:type="dxa" w:w="1860"/>
            <w:vAlign w:val="center"/>
            <w:tcMar>
              <w:top w:w="80" w:type="dxa"/>
              <w:start w:w="120" w:type="dxa"/>
              <w:bottom w:w="80" w:type="dxa"/>
              <w:end w:w="120" w:type="dxa"/>
            </w:tcMar>
            <w:shd w:fill="E8F0FB"/>
          </w:tcPr>
          <w:p>
            <w:pPr>
              <w:spacing w:after="0" w:line="276" w:lineRule="auto"/>
              <w:jc w:val="center"/>
            </w:pPr>
            <w:r/>
            <w:r>
              <w:rPr>
                <w:rFonts w:ascii="Calibri" w:hAnsi="Calibri" w:eastAsia="微软雅黑"/>
                <w:b/>
                <w:color w:val="1F4D78"/>
                <w:sz w:val="19"/>
              </w:rPr>
              <w:t>输出物</w:t>
            </w:r>
          </w:p>
        </w:tc>
      </w:tr>
      <w:tr>
        <w:tc>
          <w:tcPr>
            <w:tcW w:type="dxa" w:w="1450"/>
          </w:tcPr>
          <w:p>
            <w:pPr>
              <w:spacing w:after="0" w:line="276" w:lineRule="auto"/>
              <w:jc w:val="center"/>
            </w:pPr>
            <w:r/>
            <w:r>
              <w:rPr>
                <w:rFonts w:ascii="Calibri" w:hAnsi="Calibri" w:eastAsia="微软雅黑"/>
                <w:b w:val="0"/>
                <w:color w:val="0B2545"/>
                <w:sz w:val="16"/>
              </w:rPr>
              <w:t>场景与资产模块</w:t>
            </w:r>
          </w:p>
        </w:tc>
        <w:tc>
          <w:tcPr>
            <w:tcW w:type="dxa" w:w="3500"/>
          </w:tcPr>
          <w:p>
            <w:pPr>
              <w:spacing w:after="0" w:line="276" w:lineRule="auto"/>
            </w:pPr>
            <w:r/>
            <w:r>
              <w:rPr>
                <w:rFonts w:ascii="Calibri" w:hAnsi="Calibri" w:eastAsia="微软雅黑"/>
                <w:b w:val="0"/>
                <w:color w:val="0B2545"/>
                <w:sz w:val="16"/>
              </w:rPr>
              <w:t>管理地形、建筑、目标模型、材质、纹理和场景脚本。支持导入公司已有三维模型素材，并逐步形成低空、航天、靶场、安防等标准场景库。</w:t>
            </w:r>
          </w:p>
        </w:tc>
        <w:tc>
          <w:tcPr>
            <w:tcW w:type="dxa" w:w="2550"/>
          </w:tcPr>
          <w:p>
            <w:pPr>
              <w:spacing w:after="0" w:line="276" w:lineRule="auto"/>
            </w:pPr>
            <w:r/>
            <w:r>
              <w:rPr>
                <w:rFonts w:ascii="Calibri" w:hAnsi="Calibri" w:eastAsia="微软雅黑"/>
                <w:b w:val="0"/>
                <w:color w:val="0B2545"/>
                <w:sz w:val="16"/>
              </w:rPr>
              <w:t>场景加载、LOD、坐标系统、模型格式转换、资产版本管理。</w:t>
            </w:r>
          </w:p>
        </w:tc>
        <w:tc>
          <w:tcPr>
            <w:tcW w:type="dxa" w:w="1860"/>
          </w:tcPr>
          <w:p>
            <w:pPr>
              <w:spacing w:after="0" w:line="276" w:lineRule="auto"/>
            </w:pPr>
            <w:r/>
            <w:r>
              <w:rPr>
                <w:rFonts w:ascii="Calibri" w:hAnsi="Calibri" w:eastAsia="微软雅黑"/>
                <w:b w:val="0"/>
                <w:color w:val="0B2545"/>
                <w:sz w:val="16"/>
              </w:rPr>
              <w:t>场景文件、目标实例、背景环境和批量试验工况。</w:t>
            </w:r>
          </w:p>
        </w:tc>
      </w:tr>
      <w:tr>
        <w:tc>
          <w:tcPr>
            <w:tcW w:type="dxa" w:w="1450"/>
          </w:tcPr>
          <w:p>
            <w:pPr>
              <w:spacing w:after="0" w:line="276" w:lineRule="auto"/>
              <w:jc w:val="center"/>
            </w:pPr>
            <w:r/>
            <w:r>
              <w:rPr>
                <w:rFonts w:ascii="Calibri" w:hAnsi="Calibri" w:eastAsia="微软雅黑"/>
                <w:b w:val="0"/>
                <w:color w:val="0B2545"/>
                <w:sz w:val="16"/>
              </w:rPr>
              <w:t>红外物理模块</w:t>
            </w:r>
          </w:p>
        </w:tc>
        <w:tc>
          <w:tcPr>
            <w:tcW w:type="dxa" w:w="3500"/>
          </w:tcPr>
          <w:p>
            <w:pPr>
              <w:spacing w:after="0" w:line="276" w:lineRule="auto"/>
            </w:pPr>
            <w:r/>
            <w:r>
              <w:rPr>
                <w:rFonts w:ascii="Calibri" w:hAnsi="Calibri" w:eastAsia="微软雅黑"/>
                <w:b w:val="0"/>
                <w:color w:val="0B2545"/>
                <w:sz w:val="16"/>
              </w:rPr>
              <w:t>负责温度、材料、大气、波段、热斑、亮点和最终红外灰度/辐亮度计算。该模块决定产品是否具备物理可信度。</w:t>
            </w:r>
          </w:p>
        </w:tc>
        <w:tc>
          <w:tcPr>
            <w:tcW w:type="dxa" w:w="2550"/>
          </w:tcPr>
          <w:p>
            <w:pPr>
              <w:spacing w:after="0" w:line="276" w:lineRule="auto"/>
            </w:pPr>
            <w:r/>
            <w:r>
              <w:rPr>
                <w:rFonts w:ascii="Calibri" w:hAnsi="Calibri" w:eastAsia="微软雅黑"/>
                <w:b w:val="0"/>
                <w:color w:val="0B2545"/>
                <w:sz w:val="16"/>
              </w:rPr>
              <w:t>温度场模型、发射率/反射率、MODTRAN tau、热点/亮点分离、辐亮度链路。</w:t>
            </w:r>
          </w:p>
        </w:tc>
        <w:tc>
          <w:tcPr>
            <w:tcW w:type="dxa" w:w="1860"/>
          </w:tcPr>
          <w:p>
            <w:pPr>
              <w:spacing w:after="0" w:line="276" w:lineRule="auto"/>
            </w:pPr>
            <w:r/>
            <w:r>
              <w:rPr>
                <w:rFonts w:ascii="Calibri" w:hAnsi="Calibri" w:eastAsia="微软雅黑"/>
                <w:b w:val="0"/>
                <w:color w:val="0B2545"/>
                <w:sz w:val="16"/>
              </w:rPr>
              <w:t>红外图像、图像序列、分项灰度/辐亮度日志。</w:t>
            </w:r>
          </w:p>
        </w:tc>
      </w:tr>
      <w:tr>
        <w:tc>
          <w:tcPr>
            <w:tcW w:type="dxa" w:w="1450"/>
          </w:tcPr>
          <w:p>
            <w:pPr>
              <w:spacing w:after="0" w:line="276" w:lineRule="auto"/>
              <w:jc w:val="center"/>
            </w:pPr>
            <w:r/>
            <w:r>
              <w:rPr>
                <w:rFonts w:ascii="Calibri" w:hAnsi="Calibri" w:eastAsia="微软雅黑"/>
                <w:b w:val="0"/>
                <w:color w:val="0B2545"/>
                <w:sz w:val="16"/>
              </w:rPr>
              <w:t>传感器模块</w:t>
            </w:r>
          </w:p>
        </w:tc>
        <w:tc>
          <w:tcPr>
            <w:tcW w:type="dxa" w:w="3500"/>
          </w:tcPr>
          <w:p>
            <w:pPr>
              <w:spacing w:after="0" w:line="276" w:lineRule="auto"/>
            </w:pPr>
            <w:r/>
            <w:r>
              <w:rPr>
                <w:rFonts w:ascii="Calibri" w:hAnsi="Calibri" w:eastAsia="微软雅黑"/>
                <w:b w:val="0"/>
                <w:color w:val="0B2545"/>
                <w:sz w:val="16"/>
              </w:rPr>
              <w:t>描述红外相机或载荷的波段、视场角、分辨率、帧率、噪声、动态范围和成像模式。</w:t>
            </w:r>
          </w:p>
        </w:tc>
        <w:tc>
          <w:tcPr>
            <w:tcW w:type="dxa" w:w="2550"/>
          </w:tcPr>
          <w:p>
            <w:pPr>
              <w:spacing w:after="0" w:line="276" w:lineRule="auto"/>
            </w:pPr>
            <w:r/>
            <w:r>
              <w:rPr>
                <w:rFonts w:ascii="Calibri" w:hAnsi="Calibri" w:eastAsia="微软雅黑"/>
                <w:b w:val="0"/>
                <w:color w:val="0B2545"/>
                <w:sz w:val="16"/>
              </w:rPr>
              <w:t>相机模型、视线控制、内外参、传感器噪声、图像输出管线。</w:t>
            </w:r>
          </w:p>
        </w:tc>
        <w:tc>
          <w:tcPr>
            <w:tcW w:type="dxa" w:w="1860"/>
          </w:tcPr>
          <w:p>
            <w:pPr>
              <w:spacing w:after="0" w:line="276" w:lineRule="auto"/>
            </w:pPr>
            <w:r/>
            <w:r>
              <w:rPr>
                <w:rFonts w:ascii="Calibri" w:hAnsi="Calibri" w:eastAsia="微软雅黑"/>
                <w:b w:val="0"/>
                <w:color w:val="0B2545"/>
                <w:sz w:val="16"/>
              </w:rPr>
              <w:t>传感器配置、红外图像流、算法测试输入。</w:t>
            </w:r>
          </w:p>
        </w:tc>
      </w:tr>
      <w:tr>
        <w:tc>
          <w:tcPr>
            <w:tcW w:type="dxa" w:w="1450"/>
          </w:tcPr>
          <w:p>
            <w:pPr>
              <w:spacing w:after="0" w:line="276" w:lineRule="auto"/>
              <w:jc w:val="center"/>
            </w:pPr>
            <w:r/>
            <w:r>
              <w:rPr>
                <w:rFonts w:ascii="Calibri" w:hAnsi="Calibri" w:eastAsia="微软雅黑"/>
                <w:b w:val="0"/>
                <w:color w:val="0B2545"/>
                <w:sz w:val="16"/>
              </w:rPr>
              <w:t>协议与系统集成模块</w:t>
            </w:r>
          </w:p>
        </w:tc>
        <w:tc>
          <w:tcPr>
            <w:tcW w:type="dxa" w:w="3500"/>
          </w:tcPr>
          <w:p>
            <w:pPr>
              <w:spacing w:after="0" w:line="276" w:lineRule="auto"/>
            </w:pPr>
            <w:r/>
            <w:r>
              <w:rPr>
                <w:rFonts w:ascii="Calibri" w:hAnsi="Calibri" w:eastAsia="微软雅黑"/>
                <w:b w:val="0"/>
                <w:color w:val="0B2545"/>
                <w:sz w:val="16"/>
              </w:rPr>
              <w:t>负责接入外部仿真系统、半实物平台和任务推演系统，使红外仿真能够随目标状态实时变化。</w:t>
            </w:r>
          </w:p>
        </w:tc>
        <w:tc>
          <w:tcPr>
            <w:tcW w:type="dxa" w:w="2550"/>
          </w:tcPr>
          <w:p>
            <w:pPr>
              <w:spacing w:after="0" w:line="276" w:lineRule="auto"/>
            </w:pPr>
            <w:r/>
            <w:r>
              <w:rPr>
                <w:rFonts w:ascii="Calibri" w:hAnsi="Calibri" w:eastAsia="微软雅黑"/>
                <w:b w:val="0"/>
                <w:color w:val="0B2545"/>
                <w:sz w:val="16"/>
              </w:rPr>
              <w:t>UDP/TCP、二进制协议、JSON、DIS/HLA、AFSIM 适配、状态同步。</w:t>
            </w:r>
          </w:p>
        </w:tc>
        <w:tc>
          <w:tcPr>
            <w:tcW w:type="dxa" w:w="1860"/>
          </w:tcPr>
          <w:p>
            <w:pPr>
              <w:spacing w:after="0" w:line="276" w:lineRule="auto"/>
            </w:pPr>
            <w:r/>
            <w:r>
              <w:rPr>
                <w:rFonts w:ascii="Calibri" w:hAnsi="Calibri" w:eastAsia="微软雅黑"/>
                <w:b w:val="0"/>
                <w:color w:val="0B2545"/>
                <w:sz w:val="16"/>
              </w:rPr>
              <w:t>目标状态、武器状态、视线状态、事件触发记录。</w:t>
            </w:r>
          </w:p>
        </w:tc>
      </w:tr>
      <w:tr>
        <w:tc>
          <w:tcPr>
            <w:tcW w:type="dxa" w:w="1450"/>
          </w:tcPr>
          <w:p>
            <w:pPr>
              <w:spacing w:after="0" w:line="276" w:lineRule="auto"/>
              <w:jc w:val="center"/>
            </w:pPr>
            <w:r/>
            <w:r>
              <w:rPr>
                <w:rFonts w:ascii="Calibri" w:hAnsi="Calibri" w:eastAsia="微软雅黑"/>
                <w:b w:val="0"/>
                <w:color w:val="0B2545"/>
                <w:sz w:val="16"/>
              </w:rPr>
              <w:t>GUI 与试验管理模块</w:t>
            </w:r>
          </w:p>
        </w:tc>
        <w:tc>
          <w:tcPr>
            <w:tcW w:type="dxa" w:w="3500"/>
          </w:tcPr>
          <w:p>
            <w:pPr>
              <w:spacing w:after="0" w:line="276" w:lineRule="auto"/>
            </w:pPr>
            <w:r/>
            <w:r>
              <w:rPr>
                <w:rFonts w:ascii="Calibri" w:hAnsi="Calibri" w:eastAsia="微软雅黑"/>
                <w:b w:val="0"/>
                <w:color w:val="0B2545"/>
                <w:sz w:val="16"/>
              </w:rPr>
              <w:t>提供可视化配置、场景编辑、参数管理、批量试验、结果查看和报告导出，降低售前和交付使用门槛。</w:t>
            </w:r>
          </w:p>
        </w:tc>
        <w:tc>
          <w:tcPr>
            <w:tcW w:type="dxa" w:w="2550"/>
          </w:tcPr>
          <w:p>
            <w:pPr>
              <w:spacing w:after="0" w:line="276" w:lineRule="auto"/>
            </w:pPr>
            <w:r/>
            <w:r>
              <w:rPr>
                <w:rFonts w:ascii="Calibri" w:hAnsi="Calibri" w:eastAsia="微软雅黑"/>
                <w:b w:val="0"/>
                <w:color w:val="0B2545"/>
                <w:sz w:val="16"/>
              </w:rPr>
              <w:t>Qt/桌面 GUI、参数模板、批处理、日志解析、报告生成。</w:t>
            </w:r>
          </w:p>
        </w:tc>
        <w:tc>
          <w:tcPr>
            <w:tcW w:type="dxa" w:w="1860"/>
          </w:tcPr>
          <w:p>
            <w:pPr>
              <w:spacing w:after="0" w:line="276" w:lineRule="auto"/>
            </w:pPr>
            <w:r/>
            <w:r>
              <w:rPr>
                <w:rFonts w:ascii="Calibri" w:hAnsi="Calibri" w:eastAsia="微软雅黑"/>
                <w:b w:val="0"/>
                <w:color w:val="0B2545"/>
                <w:sz w:val="16"/>
              </w:rPr>
              <w:t>可操作软件界面、试验任务、结果报告。</w:t>
            </w:r>
          </w:p>
        </w:tc>
      </w:tr>
      <w:tr>
        <w:tc>
          <w:tcPr>
            <w:tcW w:type="dxa" w:w="1450"/>
          </w:tcPr>
          <w:p>
            <w:pPr>
              <w:spacing w:after="0" w:line="276" w:lineRule="auto"/>
              <w:jc w:val="center"/>
            </w:pPr>
            <w:r/>
            <w:r>
              <w:rPr>
                <w:rFonts w:ascii="Calibri" w:hAnsi="Calibri" w:eastAsia="微软雅黑"/>
                <w:b w:val="0"/>
                <w:color w:val="0B2545"/>
                <w:sz w:val="16"/>
              </w:rPr>
              <w:t>跨平台运行模块</w:t>
            </w:r>
          </w:p>
        </w:tc>
        <w:tc>
          <w:tcPr>
            <w:tcW w:type="dxa" w:w="3500"/>
          </w:tcPr>
          <w:p>
            <w:pPr>
              <w:spacing w:after="0" w:line="276" w:lineRule="auto"/>
            </w:pPr>
            <w:r/>
            <w:r>
              <w:rPr>
                <w:rFonts w:ascii="Calibri" w:hAnsi="Calibri" w:eastAsia="微软雅黑"/>
                <w:b w:val="0"/>
                <w:color w:val="0B2545"/>
                <w:sz w:val="16"/>
              </w:rPr>
              <w:t>支持 Windows 开发调试、Linux 部署、国产 ARM 板卡运行，并预留 GPU/FPGA 加速接口。</w:t>
            </w:r>
          </w:p>
        </w:tc>
        <w:tc>
          <w:tcPr>
            <w:tcW w:type="dxa" w:w="2550"/>
          </w:tcPr>
          <w:p>
            <w:pPr>
              <w:spacing w:after="0" w:line="276" w:lineRule="auto"/>
            </w:pPr>
            <w:r/>
            <w:r>
              <w:rPr>
                <w:rFonts w:ascii="Calibri" w:hAnsi="Calibri" w:eastAsia="微软雅黑"/>
                <w:b w:val="0"/>
                <w:color w:val="0B2545"/>
                <w:sz w:val="16"/>
              </w:rPr>
              <w:t>CMake/Qt 工程化、Panda3D/UE5 运行时、ARM GPU、性能监控。</w:t>
            </w:r>
          </w:p>
        </w:tc>
        <w:tc>
          <w:tcPr>
            <w:tcW w:type="dxa" w:w="1860"/>
          </w:tcPr>
          <w:p>
            <w:pPr>
              <w:spacing w:after="0" w:line="276" w:lineRule="auto"/>
            </w:pPr>
            <w:r/>
            <w:r>
              <w:rPr>
                <w:rFonts w:ascii="Calibri" w:hAnsi="Calibri" w:eastAsia="微软雅黑"/>
                <w:b w:val="0"/>
                <w:color w:val="0B2545"/>
                <w:sz w:val="16"/>
              </w:rPr>
              <w:t>部署包、运行时、性能报告和交付文档。</w:t>
            </w:r>
          </w:p>
        </w:tc>
      </w:tr>
      <w:tr>
        <w:tc>
          <w:tcPr>
            <w:tcW w:type="dxa" w:w="1450"/>
          </w:tcPr>
          <w:p>
            <w:pPr>
              <w:spacing w:after="0" w:line="276" w:lineRule="auto"/>
              <w:jc w:val="center"/>
            </w:pPr>
            <w:r/>
            <w:r>
              <w:rPr>
                <w:rFonts w:ascii="Calibri" w:hAnsi="Calibri" w:eastAsia="微软雅黑"/>
                <w:b w:val="0"/>
                <w:color w:val="0B2545"/>
                <w:sz w:val="16"/>
              </w:rPr>
              <w:t>AI 与数据模块</w:t>
            </w:r>
          </w:p>
        </w:tc>
        <w:tc>
          <w:tcPr>
            <w:tcW w:type="dxa" w:w="3500"/>
          </w:tcPr>
          <w:p>
            <w:pPr>
              <w:spacing w:after="0" w:line="276" w:lineRule="auto"/>
            </w:pPr>
            <w:r/>
            <w:r>
              <w:rPr>
                <w:rFonts w:ascii="Calibri" w:hAnsi="Calibri" w:eastAsia="微软雅黑"/>
                <w:b w:val="0"/>
                <w:color w:val="0B2545"/>
                <w:sz w:val="16"/>
              </w:rPr>
              <w:t>在产品成熟后提供场景生成、参数反演、红外合成数据集、自动测试用例和报告生成能力。</w:t>
            </w:r>
          </w:p>
        </w:tc>
        <w:tc>
          <w:tcPr>
            <w:tcW w:type="dxa" w:w="2550"/>
          </w:tcPr>
          <w:p>
            <w:pPr>
              <w:spacing w:after="0" w:line="276" w:lineRule="auto"/>
            </w:pPr>
            <w:r/>
            <w:r>
              <w:rPr>
                <w:rFonts w:ascii="Calibri" w:hAnsi="Calibri" w:eastAsia="微软雅黑"/>
                <w:b w:val="0"/>
                <w:color w:val="0B2545"/>
                <w:sz w:val="16"/>
              </w:rPr>
              <w:t>生成式 AI、仿真参数推荐、数据标注、模型评估、异常诊断。</w:t>
            </w:r>
          </w:p>
        </w:tc>
        <w:tc>
          <w:tcPr>
            <w:tcW w:type="dxa" w:w="1860"/>
          </w:tcPr>
          <w:p>
            <w:pPr>
              <w:spacing w:after="0" w:line="276" w:lineRule="auto"/>
            </w:pPr>
            <w:r/>
            <w:r>
              <w:rPr>
                <w:rFonts w:ascii="Calibri" w:hAnsi="Calibri" w:eastAsia="微软雅黑"/>
                <w:b w:val="0"/>
                <w:color w:val="0B2545"/>
                <w:sz w:val="16"/>
              </w:rPr>
              <w:t>训练数据集、评测报告、自动化工况集。</w:t>
            </w:r>
          </w:p>
        </w:tc>
      </w:tr>
    </w:tbl>
    <w:p>
      <w:pPr>
        <w:spacing w:after="80"/>
      </w:pPr>
    </w:p>
    <w:p>
      <w:pPr>
        <w:pStyle w:val="Heading2"/>
      </w:pPr>
      <w:r>
        <w:rPr>
          <w:rFonts w:ascii="Calibri" w:hAnsi="Calibri" w:eastAsia="微软雅黑"/>
          <w:b/>
          <w:color w:val="2E74B5"/>
          <w:sz w:val="26"/>
        </w:rPr>
        <w:t>5.1 典型使用流程</w:t>
      </w:r>
    </w:p>
    <w:p>
      <w:pPr>
        <w:spacing w:before="0" w:after="160" w:line="320" w:lineRule="auto"/>
        <w:jc w:val="both"/>
      </w:pPr>
      <w:r>
        <w:rPr>
          <w:rFonts w:ascii="Calibri" w:hAnsi="Calibri" w:eastAsia="微软雅黑"/>
          <w:b w:val="0"/>
          <w:color w:val="0B2545"/>
          <w:sz w:val="22"/>
        </w:rPr>
        <w:t>从用户视角看，产品的使用流程可以分为六步。第一步是建立场景，用户选择靶场、机场、园区、城市低空、轨道观测或海面等基础环境，导入地形、建筑、目标模型和材质。第二步是配置红外参数，设置目标温度、材料发射率、局部热斑、大气条件、波段和传感器参数。第三步是配置任务状态，例如目标运动轨迹、平台姿态、发动机状态、武器事件、视线角和采样频率。第四步是运行仿真，系统输出红外图像、视频流或图像序列，并同步输出状态日志。第五步是结果评估，用户可以对比算法识别结果、灰度变化、目标可见性和异常状态。第六步是导出报告，用于项目验收、算法评估或试验方案评审。</w:t>
      </w:r>
    </w:p>
    <w:p>
      <w:pPr>
        <w:pStyle w:val="Heading2"/>
      </w:pPr>
      <w:r>
        <w:rPr>
          <w:rFonts w:ascii="Calibri" w:hAnsi="Calibri" w:eastAsia="微软雅黑"/>
          <w:b/>
          <w:color w:val="2E74B5"/>
          <w:sz w:val="26"/>
        </w:rPr>
        <w:t>5.2 模块展开说明</w:t>
      </w:r>
    </w:p>
    <w:p>
      <w:pPr>
        <w:spacing w:before="0" w:after="160" w:line="320" w:lineRule="auto"/>
        <w:jc w:val="both"/>
      </w:pPr>
      <w:r>
        <w:rPr>
          <w:rFonts w:ascii="Calibri" w:hAnsi="Calibri" w:eastAsia="微软雅黑"/>
          <w:b w:val="0"/>
          <w:color w:val="0B2545"/>
          <w:sz w:val="22"/>
        </w:rPr>
        <w:t>场景与资产模块是产品可复用程度的基础。早期可以从公司已有模型素材和典型靶场/飞行器/低空场景开始，逐步形成标准化资产包。资产库不只是模型文件集合，还应记录模型尺度、坐标基准、材质参数、红外属性和版本信息，否则后续很难复现实验结果。</w:t>
      </w:r>
    </w:p>
    <w:p>
      <w:pPr>
        <w:spacing w:before="0" w:after="160" w:line="320" w:lineRule="auto"/>
        <w:jc w:val="both"/>
      </w:pPr>
      <w:r>
        <w:rPr>
          <w:rFonts w:ascii="Calibri" w:hAnsi="Calibri" w:eastAsia="微软雅黑"/>
          <w:b w:val="0"/>
          <w:color w:val="0B2545"/>
          <w:sz w:val="22"/>
        </w:rPr>
        <w:t>红外物理模块是产品可信度的核心。该模块需要把目标主体、局部热源、背景、大气和传感器输出拆开建模，并通过日志保存每一类贡献。近期 HwaSimIR 中热点和亮点分离的工作非常有价值，因为它避免把发动机状态、武器命中和泛化毁伤状态混在一起。产品化时也应保持这种边界：发动机状态控制尾部热斑，命中/打击事件控制亮点，材料和温度模型控制主体辐射。</w:t>
      </w:r>
    </w:p>
    <w:p>
      <w:pPr>
        <w:spacing w:before="0" w:after="160" w:line="320" w:lineRule="auto"/>
        <w:jc w:val="both"/>
      </w:pPr>
      <w:r>
        <w:rPr>
          <w:rFonts w:ascii="Calibri" w:hAnsi="Calibri" w:eastAsia="微软雅黑"/>
          <w:b w:val="0"/>
          <w:color w:val="0B2545"/>
          <w:sz w:val="22"/>
        </w:rPr>
        <w:t>传感器模块决定产品能否接近真实设备。不同红外设备的波段、分辨率、视场角、曝光策略、动态范围和噪声特性不同，如果系统只能输出一类固定灰度图，就很难服务不同客户。建议 V1.0 先支持常用波段、视场角、分辨率和图像输出参数，后续增加传感器噪声、非均匀性校正、动态范围压缩和成像链路延迟。</w:t>
      </w:r>
    </w:p>
    <w:p>
      <w:pPr>
        <w:spacing w:before="0" w:after="160" w:line="320" w:lineRule="auto"/>
        <w:jc w:val="both"/>
      </w:pPr>
      <w:r>
        <w:rPr>
          <w:rFonts w:ascii="Calibri" w:hAnsi="Calibri" w:eastAsia="微软雅黑"/>
          <w:b w:val="0"/>
          <w:color w:val="0B2545"/>
          <w:sz w:val="22"/>
        </w:rPr>
        <w:t>协议与系统集成模块是把产品从独立工具变成平台能力的关键。它需要把外部系统输入的目标状态、平台编号、武器事件和相机视线转换为内部仿真状态，也需要把红外图像、目标可见性和仿真日志输出给算法系统或半实物设备。近期目标全协议键的改造说明，协议层不能简单依赖 targetID，而要考虑目标类型、平台编号、目标编号等组合键。</w:t>
      </w:r>
    </w:p>
    <w:p>
      <w:pPr>
        <w:spacing w:before="0" w:after="160" w:line="320" w:lineRule="auto"/>
        <w:jc w:val="both"/>
      </w:pPr>
      <w:r>
        <w:rPr>
          <w:rFonts w:ascii="Calibri" w:hAnsi="Calibri" w:eastAsia="微软雅黑"/>
          <w:b w:val="0"/>
          <w:color w:val="0B2545"/>
          <w:sz w:val="22"/>
        </w:rPr>
        <w:t>GUI 与试验管理模块决定产品是否能被售前、测试和客户工程人员使用。GUI 不应只做参数输入框，而应支持场景模板、参数模板、批量工况、结果浏览、日志筛选和报告导出。对于军工客户而言，报告中应明确列出场景、目标、传感器、大气、波段、关键状态和输出结果，这些内容可以直接用于验收材料。</w:t>
      </w:r>
    </w:p>
    <w:p>
      <w:pPr>
        <w:spacing w:before="0" w:after="160" w:line="320" w:lineRule="auto"/>
        <w:jc w:val="both"/>
      </w:pPr>
      <w:r>
        <w:rPr>
          <w:rFonts w:ascii="Calibri" w:hAnsi="Calibri" w:eastAsia="微软雅黑"/>
          <w:b w:val="0"/>
          <w:color w:val="0B2545"/>
          <w:sz w:val="22"/>
        </w:rPr>
        <w:t>跨平台运行模块决定产品能否符合国产化和嵌入式部署要求。Windows 环境适合研发和售前演示，Linux 适合服务器和工程交付，国产 ARM 板卡适合便携式终端和信创环境。产品路线应明确哪些能力必须在 ARM 端实时运行，哪些能力可以离线生成，哪些能力可以由服务器或 GPU 工作站承担。</w:t>
      </w:r>
    </w:p>
    <w:p>
      <w:pPr>
        <w:spacing w:before="0" w:after="160" w:line="320" w:lineRule="auto"/>
        <w:jc w:val="both"/>
      </w:pPr>
      <w:r>
        <w:rPr>
          <w:rFonts w:ascii="Calibri" w:hAnsi="Calibri" w:eastAsia="微软雅黑"/>
          <w:b w:val="0"/>
          <w:color w:val="0B2545"/>
          <w:sz w:val="22"/>
        </w:rPr>
        <w:t>AI 与数据模块可以放在第二阶段以后重点建设。早期不要为了追 AI 概念而影响 V1.0 闭环，但要在数据结构和日志体系上预留接口。只要场景参数、目标状态和输出图像能够标准化保存，后续就可以自然扩展到场景生成、参数反演、合成数据集和自动评测。</w:t>
      </w:r>
    </w:p>
    <w:p>
      <w:pPr>
        <w:pStyle w:val="Heading1"/>
      </w:pPr>
      <w:r>
        <w:rPr>
          <w:rFonts w:ascii="Calibri" w:hAnsi="Calibri" w:eastAsia="微软雅黑"/>
          <w:b/>
          <w:color w:val="2E74B5"/>
          <w:sz w:val="32"/>
        </w:rPr>
        <w:t>六、与 AFSIM、VR、虚幻 5、雷达成像等软件的集成路线</w:t>
      </w:r>
    </w:p>
    <w:p>
      <w:pPr>
        <w:spacing w:before="0" w:after="160" w:line="320" w:lineRule="auto"/>
        <w:jc w:val="both"/>
      </w:pPr>
      <w:r>
        <w:rPr>
          <w:rFonts w:ascii="Calibri" w:hAnsi="Calibri" w:eastAsia="微软雅黑"/>
          <w:b w:val="0"/>
          <w:color w:val="0B2545"/>
          <w:sz w:val="22"/>
        </w:rPr>
        <w:t>该产品不应作为孤立红外工具存在。公司已有 AFSIM、VR、虚幻 5、雷达成像等方向，恰好可以形成任务级仿真、沉浸式训练、高保真视景和多模态传感器仿真的组合能力。红外仿真产品在其中承担“红外传感器通道”和“红外数据生成通道”的角色。集成路线应从接口松耦合开始，再逐步走向场景、时间、坐标和事件的一体化同步。</w:t>
      </w:r>
    </w:p>
    <w:tbl>
      <w:tblPr>
        <w:tblStyle w:val="TableGrid"/>
        <w:tblW w:type="dxa" w:w="9360"/>
        <w:jc w:val="left"/>
        <w:tblLayout w:type="fixed"/>
        <w:tblLook w:firstColumn="1" w:firstRow="1" w:lastColumn="0" w:lastRow="0" w:noHBand="0" w:noVBand="1" w:val="04A0"/>
        <w:tblInd w:w="120" w:type="dxa"/>
      </w:tblPr>
      <w:tblGrid>
        <w:gridCol w:w="1200"/>
        <w:gridCol w:w="3000"/>
        <w:gridCol w:w="2800"/>
        <w:gridCol w:w="2360"/>
      </w:tblGrid>
      <w:tr>
        <w:tc>
          <w:tcPr>
            <w:tcW w:type="dxa" w:w="12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集成对象</w:t>
            </w:r>
          </w:p>
        </w:tc>
        <w:tc>
          <w:tcPr>
            <w:tcW w:type="dxa" w:w="30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分工关系</w:t>
            </w:r>
          </w:p>
        </w:tc>
        <w:tc>
          <w:tcPr>
            <w:tcW w:type="dxa" w:w="28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集成方式</w:t>
            </w:r>
          </w:p>
        </w:tc>
        <w:tc>
          <w:tcPr>
            <w:tcW w:type="dxa" w:w="236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产品价值</w:t>
            </w:r>
          </w:p>
        </w:tc>
      </w:tr>
      <w:tr>
        <w:tc>
          <w:tcPr>
            <w:tcW w:type="dxa" w:w="1200"/>
          </w:tcPr>
          <w:p>
            <w:pPr>
              <w:spacing w:after="0" w:line="276" w:lineRule="auto"/>
              <w:jc w:val="center"/>
            </w:pPr>
            <w:r/>
            <w:r>
              <w:rPr>
                <w:rFonts w:ascii="Calibri" w:hAnsi="Calibri" w:eastAsia="微软雅黑"/>
                <w:b w:val="0"/>
                <w:color w:val="0B2545"/>
                <w:sz w:val="16"/>
              </w:rPr>
              <w:t>AFSIM</w:t>
            </w:r>
          </w:p>
        </w:tc>
        <w:tc>
          <w:tcPr>
            <w:tcW w:type="dxa" w:w="3000"/>
          </w:tcPr>
          <w:p>
            <w:pPr>
              <w:spacing w:after="0" w:line="276" w:lineRule="auto"/>
            </w:pPr>
            <w:r/>
            <w:r>
              <w:rPr>
                <w:rFonts w:ascii="Calibri" w:hAnsi="Calibri" w:eastAsia="微软雅黑"/>
                <w:b w:val="0"/>
                <w:color w:val="0B2545"/>
                <w:sz w:val="16"/>
              </w:rPr>
              <w:t>AFSIM 负责作战任务、平台行为、航迹、传感器调度和战术事件；HwaSimIR 提供红外传感器成像结果。</w:t>
            </w:r>
          </w:p>
        </w:tc>
        <w:tc>
          <w:tcPr>
            <w:tcW w:type="dxa" w:w="2800"/>
          </w:tcPr>
          <w:p>
            <w:pPr>
              <w:spacing w:after="0" w:line="276" w:lineRule="auto"/>
            </w:pPr>
            <w:r/>
            <w:r>
              <w:rPr>
                <w:rFonts w:ascii="Calibri" w:hAnsi="Calibri" w:eastAsia="微软雅黑"/>
                <w:b w:val="0"/>
                <w:color w:val="0B2545"/>
                <w:sz w:val="16"/>
              </w:rPr>
              <w:t>先通过状态文件/UDP 接入目标位置、姿态、平台编号和事件，再扩展到 DIS/HLA 或插件式接口。</w:t>
            </w:r>
          </w:p>
        </w:tc>
        <w:tc>
          <w:tcPr>
            <w:tcW w:type="dxa" w:w="2360"/>
          </w:tcPr>
          <w:p>
            <w:pPr>
              <w:spacing w:after="0" w:line="276" w:lineRule="auto"/>
            </w:pPr>
            <w:r/>
            <w:r>
              <w:rPr>
                <w:rFonts w:ascii="Calibri" w:hAnsi="Calibri" w:eastAsia="微软雅黑"/>
                <w:b w:val="0"/>
                <w:color w:val="0B2545"/>
                <w:sz w:val="16"/>
              </w:rPr>
              <w:t>形成“任务推演 + 红外成像”的联合仿真能力，用于导引、识别、态势评估和方案论证。</w:t>
            </w:r>
          </w:p>
        </w:tc>
      </w:tr>
      <w:tr>
        <w:tc>
          <w:tcPr>
            <w:tcW w:type="dxa" w:w="1200"/>
          </w:tcPr>
          <w:p>
            <w:pPr>
              <w:spacing w:after="0" w:line="276" w:lineRule="auto"/>
              <w:jc w:val="center"/>
            </w:pPr>
            <w:r/>
            <w:r>
              <w:rPr>
                <w:rFonts w:ascii="Calibri" w:hAnsi="Calibri" w:eastAsia="微软雅黑"/>
                <w:b w:val="0"/>
                <w:color w:val="0B2545"/>
                <w:sz w:val="16"/>
              </w:rPr>
              <w:t>VR</w:t>
            </w:r>
          </w:p>
        </w:tc>
        <w:tc>
          <w:tcPr>
            <w:tcW w:type="dxa" w:w="3000"/>
          </w:tcPr>
          <w:p>
            <w:pPr>
              <w:spacing w:after="0" w:line="276" w:lineRule="auto"/>
            </w:pPr>
            <w:r/>
            <w:r>
              <w:rPr>
                <w:rFonts w:ascii="Calibri" w:hAnsi="Calibri" w:eastAsia="微软雅黑"/>
                <w:b w:val="0"/>
                <w:color w:val="0B2545"/>
                <w:sz w:val="16"/>
              </w:rPr>
              <w:t>VR 负责沉浸式操作、训练展示和复盘交互；红外仿真提供传感器视角、夜间/烟雾/热目标等训练画面。</w:t>
            </w:r>
          </w:p>
        </w:tc>
        <w:tc>
          <w:tcPr>
            <w:tcW w:type="dxa" w:w="2800"/>
          </w:tcPr>
          <w:p>
            <w:pPr>
              <w:spacing w:after="0" w:line="276" w:lineRule="auto"/>
            </w:pPr>
            <w:r/>
            <w:r>
              <w:rPr>
                <w:rFonts w:ascii="Calibri" w:hAnsi="Calibri" w:eastAsia="微软雅黑"/>
                <w:b w:val="0"/>
                <w:color w:val="0B2545"/>
                <w:sz w:val="16"/>
              </w:rPr>
              <w:t>通过共享场景、相机视角、事件时间轴和回放数据实现联动。</w:t>
            </w:r>
          </w:p>
        </w:tc>
        <w:tc>
          <w:tcPr>
            <w:tcW w:type="dxa" w:w="2360"/>
          </w:tcPr>
          <w:p>
            <w:pPr>
              <w:spacing w:after="0" w:line="276" w:lineRule="auto"/>
            </w:pPr>
            <w:r/>
            <w:r>
              <w:rPr>
                <w:rFonts w:ascii="Calibri" w:hAnsi="Calibri" w:eastAsia="微软雅黑"/>
                <w:b w:val="0"/>
                <w:color w:val="0B2545"/>
                <w:sz w:val="16"/>
              </w:rPr>
              <w:t>形成训练演示、装备操作、低空安全处置和复盘评估方案。</w:t>
            </w:r>
          </w:p>
        </w:tc>
      </w:tr>
      <w:tr>
        <w:tc>
          <w:tcPr>
            <w:tcW w:type="dxa" w:w="1200"/>
          </w:tcPr>
          <w:p>
            <w:pPr>
              <w:spacing w:after="0" w:line="276" w:lineRule="auto"/>
              <w:jc w:val="center"/>
            </w:pPr>
            <w:r/>
            <w:r>
              <w:rPr>
                <w:rFonts w:ascii="Calibri" w:hAnsi="Calibri" w:eastAsia="微软雅黑"/>
                <w:b w:val="0"/>
                <w:color w:val="0B2545"/>
                <w:sz w:val="16"/>
              </w:rPr>
              <w:t>虚幻 5</w:t>
            </w:r>
          </w:p>
        </w:tc>
        <w:tc>
          <w:tcPr>
            <w:tcW w:type="dxa" w:w="3000"/>
          </w:tcPr>
          <w:p>
            <w:pPr>
              <w:spacing w:after="0" w:line="276" w:lineRule="auto"/>
            </w:pPr>
            <w:r/>
            <w:r>
              <w:rPr>
                <w:rFonts w:ascii="Calibri" w:hAnsi="Calibri" w:eastAsia="微软雅黑"/>
                <w:b w:val="0"/>
                <w:color w:val="0B2545"/>
                <w:sz w:val="16"/>
              </w:rPr>
              <w:t>UE5 负责高保真场景、大规模地形、复杂城市/园区环境和客户展示效果。</w:t>
            </w:r>
          </w:p>
        </w:tc>
        <w:tc>
          <w:tcPr>
            <w:tcW w:type="dxa" w:w="2800"/>
          </w:tcPr>
          <w:p>
            <w:pPr>
              <w:spacing w:after="0" w:line="276" w:lineRule="auto"/>
            </w:pPr>
            <w:r/>
            <w:r>
              <w:rPr>
                <w:rFonts w:ascii="Calibri" w:hAnsi="Calibri" w:eastAsia="微软雅黑"/>
                <w:b w:val="0"/>
                <w:color w:val="0B2545"/>
                <w:sz w:val="16"/>
              </w:rPr>
              <w:t>建议保留 Panda3D/ARM 轻量路线，同时建立 UE5 高保真分支，红外模型以材质、后处理或插件形式迁移。</w:t>
            </w:r>
          </w:p>
        </w:tc>
        <w:tc>
          <w:tcPr>
            <w:tcW w:type="dxa" w:w="2360"/>
          </w:tcPr>
          <w:p>
            <w:pPr>
              <w:spacing w:after="0" w:line="276" w:lineRule="auto"/>
            </w:pPr>
            <w:r/>
            <w:r>
              <w:rPr>
                <w:rFonts w:ascii="Calibri" w:hAnsi="Calibri" w:eastAsia="微软雅黑"/>
                <w:b w:val="0"/>
                <w:color w:val="0B2545"/>
                <w:sz w:val="16"/>
              </w:rPr>
              <w:t>提升视觉表现和大场景能力，适合低空经济、商业航天展示和高质量数据生成。</w:t>
            </w:r>
          </w:p>
        </w:tc>
      </w:tr>
      <w:tr>
        <w:tc>
          <w:tcPr>
            <w:tcW w:type="dxa" w:w="1200"/>
          </w:tcPr>
          <w:p>
            <w:pPr>
              <w:spacing w:after="0" w:line="276" w:lineRule="auto"/>
              <w:jc w:val="center"/>
            </w:pPr>
            <w:r/>
            <w:r>
              <w:rPr>
                <w:rFonts w:ascii="Calibri" w:hAnsi="Calibri" w:eastAsia="微软雅黑"/>
                <w:b w:val="0"/>
                <w:color w:val="0B2545"/>
                <w:sz w:val="16"/>
              </w:rPr>
              <w:t>雷达成像</w:t>
            </w:r>
          </w:p>
        </w:tc>
        <w:tc>
          <w:tcPr>
            <w:tcW w:type="dxa" w:w="3000"/>
          </w:tcPr>
          <w:p>
            <w:pPr>
              <w:spacing w:after="0" w:line="276" w:lineRule="auto"/>
            </w:pPr>
            <w:r/>
            <w:r>
              <w:rPr>
                <w:rFonts w:ascii="Calibri" w:hAnsi="Calibri" w:eastAsia="微软雅黑"/>
                <w:b w:val="0"/>
                <w:color w:val="0B2545"/>
                <w:sz w:val="16"/>
              </w:rPr>
              <w:t>雷达仿真负责距离、多普勒、散射、SAR/ISAR 或目标探测链路；红外仿真负责热特征和图像感知。</w:t>
            </w:r>
          </w:p>
        </w:tc>
        <w:tc>
          <w:tcPr>
            <w:tcW w:type="dxa" w:w="2800"/>
          </w:tcPr>
          <w:p>
            <w:pPr>
              <w:spacing w:after="0" w:line="276" w:lineRule="auto"/>
            </w:pPr>
            <w:r/>
            <w:r>
              <w:rPr>
                <w:rFonts w:ascii="Calibri" w:hAnsi="Calibri" w:eastAsia="微软雅黑"/>
                <w:b w:val="0"/>
                <w:color w:val="0B2545"/>
                <w:sz w:val="16"/>
              </w:rPr>
              <w:t>统一目标库、场景坐标、时间戳和传感器配置，输出多模态数据包。</w:t>
            </w:r>
          </w:p>
        </w:tc>
        <w:tc>
          <w:tcPr>
            <w:tcW w:type="dxa" w:w="2360"/>
          </w:tcPr>
          <w:p>
            <w:pPr>
              <w:spacing w:after="0" w:line="276" w:lineRule="auto"/>
            </w:pPr>
            <w:r/>
            <w:r>
              <w:rPr>
                <w:rFonts w:ascii="Calibri" w:hAnsi="Calibri" w:eastAsia="微软雅黑"/>
                <w:b w:val="0"/>
                <w:color w:val="0B2545"/>
                <w:sz w:val="16"/>
              </w:rPr>
              <w:t>形成红外 + 雷达 + 可见光的多模态感知评估平台，服务低空监管和目标识别算法。</w:t>
            </w:r>
          </w:p>
        </w:tc>
      </w:tr>
      <w:tr>
        <w:tc>
          <w:tcPr>
            <w:tcW w:type="dxa" w:w="1200"/>
          </w:tcPr>
          <w:p>
            <w:pPr>
              <w:spacing w:after="0" w:line="276" w:lineRule="auto"/>
              <w:jc w:val="center"/>
            </w:pPr>
            <w:r/>
            <w:r>
              <w:rPr>
                <w:rFonts w:ascii="Calibri" w:hAnsi="Calibri" w:eastAsia="微软雅黑"/>
                <w:b w:val="0"/>
                <w:color w:val="0B2545"/>
                <w:sz w:val="16"/>
              </w:rPr>
              <w:t>半实物/硬件在环</w:t>
            </w:r>
          </w:p>
        </w:tc>
        <w:tc>
          <w:tcPr>
            <w:tcW w:type="dxa" w:w="3000"/>
          </w:tcPr>
          <w:p>
            <w:pPr>
              <w:spacing w:after="0" w:line="276" w:lineRule="auto"/>
            </w:pPr>
            <w:r/>
            <w:r>
              <w:rPr>
                <w:rFonts w:ascii="Calibri" w:hAnsi="Calibri" w:eastAsia="微软雅黑"/>
                <w:b w:val="0"/>
                <w:color w:val="0B2545"/>
                <w:sz w:val="16"/>
              </w:rPr>
              <w:t>外部硬件设备、导引头、图像处理板卡或算法服务器需要实时图像流和状态闭环。</w:t>
            </w:r>
          </w:p>
        </w:tc>
        <w:tc>
          <w:tcPr>
            <w:tcW w:type="dxa" w:w="2800"/>
          </w:tcPr>
          <w:p>
            <w:pPr>
              <w:spacing w:after="0" w:line="276" w:lineRule="auto"/>
            </w:pPr>
            <w:r/>
            <w:r>
              <w:rPr>
                <w:rFonts w:ascii="Calibri" w:hAnsi="Calibri" w:eastAsia="微软雅黑"/>
                <w:b w:val="0"/>
                <w:color w:val="0B2545"/>
                <w:sz w:val="16"/>
              </w:rPr>
              <w:t>提供图像序列、实时视频流、同步触发、延迟监控和状态日志。</w:t>
            </w:r>
          </w:p>
        </w:tc>
        <w:tc>
          <w:tcPr>
            <w:tcW w:type="dxa" w:w="2360"/>
          </w:tcPr>
          <w:p>
            <w:pPr>
              <w:spacing w:after="0" w:line="276" w:lineRule="auto"/>
            </w:pPr>
            <w:r/>
            <w:r>
              <w:rPr>
                <w:rFonts w:ascii="Calibri" w:hAnsi="Calibri" w:eastAsia="微软雅黑"/>
                <w:b w:val="0"/>
                <w:color w:val="0B2545"/>
                <w:sz w:val="16"/>
              </w:rPr>
              <w:t>支撑实验室测试、靶场前置验证和设备验收。</w:t>
            </w:r>
          </w:p>
        </w:tc>
      </w:tr>
    </w:tbl>
    <w:p>
      <w:pPr>
        <w:spacing w:after="80"/>
      </w:pPr>
    </w:p>
    <w:p>
      <w:pPr>
        <w:pStyle w:val="Heading2"/>
      </w:pPr>
      <w:r>
        <w:rPr>
          <w:rFonts w:ascii="Calibri" w:hAnsi="Calibri" w:eastAsia="微软雅黑"/>
          <w:b/>
          <w:color w:val="2E74B5"/>
          <w:sz w:val="26"/>
        </w:rPr>
        <w:t>6.1 集成节奏建议</w:t>
      </w:r>
    </w:p>
    <w:p>
      <w:pPr>
        <w:spacing w:before="0" w:after="160" w:line="320" w:lineRule="auto"/>
        <w:jc w:val="both"/>
      </w:pPr>
      <w:r>
        <w:rPr>
          <w:rFonts w:ascii="Calibri" w:hAnsi="Calibri" w:eastAsia="微软雅黑"/>
          <w:b w:val="0"/>
          <w:color w:val="0B2545"/>
          <w:sz w:val="22"/>
        </w:rPr>
        <w:t>集成工作应避免一开始就追求大而全。第一阶段建议采用松耦合方式：通过文件、UDP 或简单 API 传递目标状态和传感器参数，让红外仿真先能被外部系统调用。第二阶段再统一坐标系、时间戳、事件触发和场景资产，实现与 AFSIM、VR 或 UE5 的同步联动。第三阶段才考虑更深的插件化、DIS/HLA、实时图像流和硬件在环接口。这样做可以降低早期集成风险，也能让产品先形成独立价值。</w:t>
      </w:r>
    </w:p>
    <w:p>
      <w:pPr>
        <w:spacing w:before="0" w:after="160" w:line="320" w:lineRule="auto"/>
        <w:jc w:val="both"/>
      </w:pPr>
      <w:r>
        <w:rPr>
          <w:rFonts w:ascii="Calibri" w:hAnsi="Calibri" w:eastAsia="微软雅黑"/>
          <w:b w:val="0"/>
          <w:color w:val="0B2545"/>
          <w:sz w:val="22"/>
        </w:rPr>
        <w:t>与虚幻 5 的关系尤其需要讲清楚。虚幻 5 不是替代现有 Panda3D/ARM 路线，而是面向高保真、大场景、沉浸式展示和数据生成的增强路线。早期产品仍应保证轻量可部署，尤其是国产 ARM 和离线环境；当需要做低空城市级场景、客户演示或高质量数据集时，再把 UE5 作为高保真场景引擎接入。这样既保住产品交付节奏，也给未来视觉表现留下上限。</w:t>
      </w:r>
    </w:p>
    <w:p>
      <w:pPr>
        <w:spacing w:before="0" w:after="160" w:line="320" w:lineRule="auto"/>
        <w:jc w:val="both"/>
      </w:pPr>
      <w:r>
        <w:rPr>
          <w:rFonts w:ascii="Calibri" w:hAnsi="Calibri" w:eastAsia="微软雅黑"/>
          <w:b w:val="0"/>
          <w:color w:val="0B2545"/>
          <w:sz w:val="22"/>
        </w:rPr>
        <w:t>与雷达成像的关系也应定位为互补。红外擅长热特征和图像识别，雷达擅长距离、速度、全天候探测和散射特征。低空监管、无人机反制和复杂战场环境往往需要多传感器融合，因此红外仿真与雷达成像一旦共享同一套目标库、场景坐标和时间线，就可以形成更高价值的融合评估平台。</w:t>
      </w:r>
    </w:p>
    <w:p>
      <w:pPr>
        <w:pStyle w:val="Heading1"/>
      </w:pPr>
      <w:r>
        <w:rPr>
          <w:rFonts w:ascii="Calibri" w:hAnsi="Calibri" w:eastAsia="微软雅黑"/>
          <w:b/>
          <w:color w:val="2E74B5"/>
          <w:sz w:val="32"/>
        </w:rPr>
        <w:t>七、创新点、难点与行业壁垒</w:t>
      </w:r>
    </w:p>
    <w:p>
      <w:pPr>
        <w:spacing w:before="0" w:after="160" w:line="320" w:lineRule="auto"/>
        <w:jc w:val="both"/>
      </w:pPr>
      <w:r>
        <w:rPr>
          <w:rFonts w:ascii="Calibri" w:hAnsi="Calibri" w:eastAsia="微软雅黑"/>
          <w:b w:val="0"/>
          <w:color w:val="0B2545"/>
          <w:sz w:val="22"/>
        </w:rPr>
        <w:t>本方向的创新点不应只表述为“国产 ARM + 开源 3D 引擎”，还应进一步强调它在红外物理链路、国产化部署、可解释验证和集团级仿真集成上的组合创新。单一技术点容易被模仿，但把红外模型、国产运行环境、协议接入、模型库、数据校准和自动化验收体系串起来，就会形成更难复制的工程壁垒。</w:t>
      </w:r>
    </w:p>
    <w:p>
      <w:pPr>
        <w:pStyle w:val="Heading2"/>
      </w:pPr>
      <w:r>
        <w:rPr>
          <w:rFonts w:ascii="Calibri" w:hAnsi="Calibri" w:eastAsia="微软雅黑"/>
          <w:b/>
          <w:color w:val="2E74B5"/>
          <w:sz w:val="26"/>
        </w:rPr>
        <w:t>7.1 核心创新点</w:t>
      </w:r>
    </w:p>
    <w:p>
      <w:pPr>
        <w:pStyle w:val="ListBullet"/>
        <w:spacing w:after="80" w:line="290" w:lineRule="auto"/>
      </w:pPr>
      <w:r>
        <w:rPr>
          <w:rFonts w:ascii="Calibri" w:hAnsi="Calibri" w:eastAsia="微软雅黑"/>
          <w:color w:val="0B2545"/>
          <w:sz w:val="21"/>
        </w:rPr>
        <w:t>国产化 ARM 板卡红外仿真适配：面向国产硬件、便携终端和信创环境，降低对国外软件和 X86 工作站的依赖。</w:t>
      </w:r>
    </w:p>
    <w:p>
      <w:pPr>
        <w:pStyle w:val="ListBullet"/>
        <w:spacing w:after="80" w:line="290" w:lineRule="auto"/>
      </w:pPr>
      <w:r>
        <w:rPr>
          <w:rFonts w:ascii="Calibri" w:hAnsi="Calibri" w:eastAsia="微软雅黑"/>
          <w:color w:val="0B2545"/>
          <w:sz w:val="21"/>
        </w:rPr>
        <w:t>开源 3D 引擎红外链路集成：在 Panda3D 等开源引擎上集成红外物理模型，具备源码可控、成本可控和可定制优势。</w:t>
      </w:r>
    </w:p>
    <w:p>
      <w:pPr>
        <w:pStyle w:val="ListBullet"/>
        <w:spacing w:after="80" w:line="290" w:lineRule="auto"/>
      </w:pPr>
      <w:r>
        <w:rPr>
          <w:rFonts w:ascii="Calibri" w:hAnsi="Calibri" w:eastAsia="微软雅黑"/>
          <w:color w:val="0B2545"/>
          <w:sz w:val="21"/>
        </w:rPr>
        <w:t>多波段红外与局部状态建模：支持短波、中波、长波方向，并能区分发动机热斑、武器命中亮点、目标主体和背景。</w:t>
      </w:r>
    </w:p>
    <w:p>
      <w:pPr>
        <w:pStyle w:val="ListBullet"/>
        <w:spacing w:after="80" w:line="290" w:lineRule="auto"/>
      </w:pPr>
      <w:r>
        <w:rPr>
          <w:rFonts w:ascii="Calibri" w:hAnsi="Calibri" w:eastAsia="微软雅黑"/>
          <w:color w:val="0B2545"/>
          <w:sz w:val="21"/>
        </w:rPr>
        <w:t>协议化目标状态联动：通过完整目标键、武器状态、视线状态和日志诊断，为 AFSIM、半实物和任务系统接入打基础。</w:t>
      </w:r>
    </w:p>
    <w:p>
      <w:pPr>
        <w:pStyle w:val="ListBullet"/>
        <w:spacing w:after="80" w:line="290" w:lineRule="auto"/>
      </w:pPr>
      <w:r>
        <w:rPr>
          <w:rFonts w:ascii="Calibri" w:hAnsi="Calibri" w:eastAsia="微软雅黑"/>
          <w:color w:val="0B2545"/>
          <w:sz w:val="21"/>
        </w:rPr>
        <w:t>自动化验证与可追溯交付：通过严格检查、smoke 测试、日志和报告，让客户不仅看到画面，还能看到结果依据。</w:t>
      </w:r>
    </w:p>
    <w:p>
      <w:pPr>
        <w:pStyle w:val="Heading2"/>
      </w:pPr>
      <w:r>
        <w:rPr>
          <w:rFonts w:ascii="Calibri" w:hAnsi="Calibri" w:eastAsia="微软雅黑"/>
          <w:b/>
          <w:color w:val="2E74B5"/>
          <w:sz w:val="26"/>
        </w:rPr>
        <w:t>7.2 主要难点</w:t>
      </w:r>
    </w:p>
    <w:p>
      <w:pPr>
        <w:spacing w:before="0" w:after="160" w:line="320" w:lineRule="auto"/>
        <w:jc w:val="both"/>
      </w:pPr>
      <w:r>
        <w:rPr>
          <w:rFonts w:ascii="Calibri" w:hAnsi="Calibri" w:eastAsia="微软雅黑"/>
          <w:b w:val="0"/>
          <w:color w:val="0B2545"/>
          <w:sz w:val="22"/>
        </w:rPr>
        <w:t>第一类难点是性能。红外计算如果逐像素叠加温度、材质、大气、反射和局部热源，在 ARM 端容易影响实时帧率，需要通过 LOD、GPU 并行、分层渲染、缓存和分辨率策略进行优化。第二类难点是精度。红外仿真不能只凭视觉主观判断，需要实测数据、材料参数和传感器参数校准，否则难以通过军工客户验收。第三类难点是工程化。客户环境复杂，可能涉及 Windows、Linux、国产 ARM、离线部署、保密网络和硬件在环设备，产品必须具备稳定部署和问题定位能力。</w:t>
      </w:r>
    </w:p>
    <w:p>
      <w:pPr>
        <w:pStyle w:val="Heading2"/>
      </w:pPr>
      <w:r>
        <w:rPr>
          <w:rFonts w:ascii="Calibri" w:hAnsi="Calibri" w:eastAsia="微软雅黑"/>
          <w:b/>
          <w:color w:val="2E74B5"/>
          <w:sz w:val="26"/>
        </w:rPr>
        <w:t>7.3 壁垒建设方式</w:t>
      </w:r>
    </w:p>
    <w:p>
      <w:pPr>
        <w:spacing w:before="0" w:after="160" w:line="320" w:lineRule="auto"/>
        <w:jc w:val="both"/>
      </w:pPr>
      <w:r>
        <w:rPr>
          <w:rFonts w:ascii="Calibri" w:hAnsi="Calibri" w:eastAsia="微软雅黑"/>
          <w:b w:val="0"/>
          <w:color w:val="0B2545"/>
          <w:sz w:val="22"/>
        </w:rPr>
        <w:t>建议把壁垒建设分为四类：第一，模型壁垒，持续积累材料、目标、温度、大气和传感器模型库；第二，数据壁垒，联合试验单位积累实测校准数据和仿真-实测对照样本；第三，工程壁垒，形成 GUI、SDK、部署包、日志体系、自动化测试和验收规范；第四，生态壁垒，把红外仿真接入 AFSIM、VR、UE5、雷达成像等公司已有能力，形成组合方案。</w:t>
      </w:r>
    </w:p>
    <w:p>
      <w:pPr>
        <w:pStyle w:val="Heading1"/>
      </w:pPr>
      <w:r>
        <w:rPr>
          <w:rFonts w:ascii="Calibri" w:hAnsi="Calibri" w:eastAsia="微软雅黑"/>
          <w:b/>
          <w:color w:val="2E74B5"/>
          <w:sz w:val="32"/>
        </w:rPr>
        <w:t>八、对标公司与差异化策略</w:t>
      </w:r>
    </w:p>
    <w:p>
      <w:pPr>
        <w:spacing w:before="0" w:after="160" w:line="320" w:lineRule="auto"/>
        <w:jc w:val="both"/>
      </w:pPr>
      <w:r>
        <w:rPr>
          <w:rFonts w:ascii="Calibri" w:hAnsi="Calibri" w:eastAsia="微软雅黑"/>
          <w:b w:val="0"/>
          <w:color w:val="0B2545"/>
          <w:sz w:val="22"/>
        </w:rPr>
        <w:t>对标时不宜只找完全同类产品，因为红外成像仿真横跨视景仿真、热红外签名、传感器仿真、任务推演和航天任务分析等多个领域。建议按能力拆分对标：视景平台对标 Presagis/CAE，热红外物理对标 ThermoAnalytics，EO/IR 传感器仿真对标 OKTAL-SE，联合仿真接口对标 MAK，航天任务与载荷分析对标 Ansys/AGI。我们的差异化不在于一次性覆盖所有功能，而在于国产化部署、低成本定制、公司内部仿真体系集成和面向低空/航天/军工场景的本地化交付。</w:t>
      </w:r>
    </w:p>
    <w:tbl>
      <w:tblPr>
        <w:tblStyle w:val="TableGrid"/>
        <w:tblW w:type="dxa" w:w="9360"/>
        <w:jc w:val="left"/>
        <w:tblLayout w:type="fixed"/>
        <w:tblLook w:firstColumn="1" w:firstRow="1" w:lastColumn="0" w:lastRow="0" w:noHBand="0" w:noVBand="1" w:val="04A0"/>
        <w:tblInd w:w="120" w:type="dxa"/>
      </w:tblPr>
      <w:tblGrid>
        <w:gridCol w:w="1500"/>
        <w:gridCol w:w="2200"/>
        <w:gridCol w:w="2700"/>
        <w:gridCol w:w="2960"/>
      </w:tblGrid>
      <w:tr>
        <w:tc>
          <w:tcPr>
            <w:tcW w:type="dxa" w:w="15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对标对象</w:t>
            </w:r>
          </w:p>
        </w:tc>
        <w:tc>
          <w:tcPr>
            <w:tcW w:type="dxa" w:w="22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代表方向</w:t>
            </w:r>
          </w:p>
        </w:tc>
        <w:tc>
          <w:tcPr>
            <w:tcW w:type="dxa" w:w="27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可学习点</w:t>
            </w:r>
          </w:p>
        </w:tc>
        <w:tc>
          <w:tcPr>
            <w:tcW w:type="dxa" w:w="296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差异化机会</w:t>
            </w:r>
          </w:p>
        </w:tc>
      </w:tr>
      <w:tr>
        <w:tc>
          <w:tcPr>
            <w:tcW w:type="dxa" w:w="1500"/>
          </w:tcPr>
          <w:p>
            <w:pPr>
              <w:spacing w:after="0" w:line="276" w:lineRule="auto"/>
              <w:jc w:val="center"/>
            </w:pPr>
            <w:r/>
            <w:r>
              <w:rPr>
                <w:rFonts w:ascii="Calibri" w:hAnsi="Calibri" w:eastAsia="微软雅黑"/>
                <w:b w:val="0"/>
                <w:color w:val="0B2545"/>
                <w:sz w:val="16"/>
              </w:rPr>
              <w:t>Presagis / CAE</w:t>
            </w:r>
          </w:p>
        </w:tc>
        <w:tc>
          <w:tcPr>
            <w:tcW w:type="dxa" w:w="2200"/>
          </w:tcPr>
          <w:p>
            <w:pPr>
              <w:spacing w:after="0" w:line="276" w:lineRule="auto"/>
            </w:pPr>
            <w:r/>
            <w:r>
              <w:rPr>
                <w:rFonts w:ascii="Calibri" w:hAnsi="Calibri" w:eastAsia="微软雅黑"/>
                <w:b w:val="0"/>
                <w:color w:val="0B2545"/>
                <w:sz w:val="16"/>
              </w:rPr>
              <w:t>Vega Prime / Creator 等视景仿真工具链</w:t>
            </w:r>
          </w:p>
        </w:tc>
        <w:tc>
          <w:tcPr>
            <w:tcW w:type="dxa" w:w="2700"/>
          </w:tcPr>
          <w:p>
            <w:pPr>
              <w:spacing w:after="0" w:line="276" w:lineRule="auto"/>
            </w:pPr>
            <w:r/>
            <w:r>
              <w:rPr>
                <w:rFonts w:ascii="Calibri" w:hAnsi="Calibri" w:eastAsia="微软雅黑"/>
                <w:b w:val="0"/>
                <w:color w:val="0B2545"/>
                <w:sz w:val="16"/>
              </w:rPr>
              <w:t>成熟场景生态、视景工具链、仿真工程经验。</w:t>
            </w:r>
          </w:p>
        </w:tc>
        <w:tc>
          <w:tcPr>
            <w:tcW w:type="dxa" w:w="2960"/>
          </w:tcPr>
          <w:p>
            <w:pPr>
              <w:spacing w:after="0" w:line="276" w:lineRule="auto"/>
            </w:pPr>
            <w:r/>
            <w:r>
              <w:rPr>
                <w:rFonts w:ascii="Calibri" w:hAnsi="Calibri" w:eastAsia="微软雅黑"/>
                <w:b w:val="0"/>
                <w:color w:val="0B2545"/>
                <w:sz w:val="16"/>
              </w:rPr>
              <w:t>以国产 ARM、开源可控、红外专用链路切入，降低授权和禁运风险。</w:t>
            </w:r>
          </w:p>
        </w:tc>
      </w:tr>
      <w:tr>
        <w:tc>
          <w:tcPr>
            <w:tcW w:type="dxa" w:w="1500"/>
          </w:tcPr>
          <w:p>
            <w:pPr>
              <w:spacing w:after="0" w:line="276" w:lineRule="auto"/>
              <w:jc w:val="center"/>
            </w:pPr>
            <w:r/>
            <w:r>
              <w:rPr>
                <w:rFonts w:ascii="Calibri" w:hAnsi="Calibri" w:eastAsia="微软雅黑"/>
                <w:b w:val="0"/>
                <w:color w:val="0B2545"/>
                <w:sz w:val="16"/>
              </w:rPr>
              <w:t>ThermoAnalytics</w:t>
            </w:r>
          </w:p>
        </w:tc>
        <w:tc>
          <w:tcPr>
            <w:tcW w:type="dxa" w:w="2200"/>
          </w:tcPr>
          <w:p>
            <w:pPr>
              <w:spacing w:after="0" w:line="276" w:lineRule="auto"/>
            </w:pPr>
            <w:r/>
            <w:r>
              <w:rPr>
                <w:rFonts w:ascii="Calibri" w:hAnsi="Calibri" w:eastAsia="微软雅黑"/>
                <w:b w:val="0"/>
                <w:color w:val="0B2545"/>
                <w:sz w:val="16"/>
              </w:rPr>
              <w:t>热模型与红外签名仿真</w:t>
            </w:r>
          </w:p>
        </w:tc>
        <w:tc>
          <w:tcPr>
            <w:tcW w:type="dxa" w:w="2700"/>
          </w:tcPr>
          <w:p>
            <w:pPr>
              <w:spacing w:after="0" w:line="276" w:lineRule="auto"/>
            </w:pPr>
            <w:r/>
            <w:r>
              <w:rPr>
                <w:rFonts w:ascii="Calibri" w:hAnsi="Calibri" w:eastAsia="微软雅黑"/>
                <w:b w:val="0"/>
                <w:color w:val="0B2545"/>
                <w:sz w:val="16"/>
              </w:rPr>
              <w:t>热传导、材料参数、红外签名工程化能力。</w:t>
            </w:r>
          </w:p>
        </w:tc>
        <w:tc>
          <w:tcPr>
            <w:tcW w:type="dxa" w:w="2960"/>
          </w:tcPr>
          <w:p>
            <w:pPr>
              <w:spacing w:after="0" w:line="276" w:lineRule="auto"/>
            </w:pPr>
            <w:r/>
            <w:r>
              <w:rPr>
                <w:rFonts w:ascii="Calibri" w:hAnsi="Calibri" w:eastAsia="微软雅黑"/>
                <w:b w:val="0"/>
                <w:color w:val="0B2545"/>
                <w:sz w:val="16"/>
              </w:rPr>
              <w:t>结合国产运行环境和半实物测试流程，做更贴近国内交付的轻量方案。</w:t>
            </w:r>
          </w:p>
        </w:tc>
      </w:tr>
      <w:tr>
        <w:tc>
          <w:tcPr>
            <w:tcW w:type="dxa" w:w="1500"/>
          </w:tcPr>
          <w:p>
            <w:pPr>
              <w:spacing w:after="0" w:line="276" w:lineRule="auto"/>
              <w:jc w:val="center"/>
            </w:pPr>
            <w:r/>
            <w:r>
              <w:rPr>
                <w:rFonts w:ascii="Calibri" w:hAnsi="Calibri" w:eastAsia="微软雅黑"/>
                <w:b w:val="0"/>
                <w:color w:val="0B2545"/>
                <w:sz w:val="16"/>
              </w:rPr>
              <w:t>OKTAL-SE</w:t>
            </w:r>
          </w:p>
        </w:tc>
        <w:tc>
          <w:tcPr>
            <w:tcW w:type="dxa" w:w="2200"/>
          </w:tcPr>
          <w:p>
            <w:pPr>
              <w:spacing w:after="0" w:line="276" w:lineRule="auto"/>
            </w:pPr>
            <w:r/>
            <w:r>
              <w:rPr>
                <w:rFonts w:ascii="Calibri" w:hAnsi="Calibri" w:eastAsia="微软雅黑"/>
                <w:b w:val="0"/>
                <w:color w:val="0B2545"/>
                <w:sz w:val="16"/>
              </w:rPr>
              <w:t>EO/IR 传感器场景仿真</w:t>
            </w:r>
          </w:p>
        </w:tc>
        <w:tc>
          <w:tcPr>
            <w:tcW w:type="dxa" w:w="2700"/>
          </w:tcPr>
          <w:p>
            <w:pPr>
              <w:spacing w:after="0" w:line="276" w:lineRule="auto"/>
            </w:pPr>
            <w:r/>
            <w:r>
              <w:rPr>
                <w:rFonts w:ascii="Calibri" w:hAnsi="Calibri" w:eastAsia="微软雅黑"/>
                <w:b w:val="0"/>
                <w:color w:val="0B2545"/>
                <w:sz w:val="16"/>
              </w:rPr>
              <w:t>传感器级建模、任务场景、工程验证流程。</w:t>
            </w:r>
          </w:p>
        </w:tc>
        <w:tc>
          <w:tcPr>
            <w:tcW w:type="dxa" w:w="2960"/>
          </w:tcPr>
          <w:p>
            <w:pPr>
              <w:spacing w:after="0" w:line="276" w:lineRule="auto"/>
            </w:pPr>
            <w:r/>
            <w:r>
              <w:rPr>
                <w:rFonts w:ascii="Calibri" w:hAnsi="Calibri" w:eastAsia="微软雅黑"/>
                <w:b w:val="0"/>
                <w:color w:val="0B2545"/>
                <w:sz w:val="16"/>
              </w:rPr>
              <w:t>围绕低空、航天、军工建立本地化场景库和可交付方案。</w:t>
            </w:r>
          </w:p>
        </w:tc>
      </w:tr>
      <w:tr>
        <w:tc>
          <w:tcPr>
            <w:tcW w:type="dxa" w:w="1500"/>
          </w:tcPr>
          <w:p>
            <w:pPr>
              <w:spacing w:after="0" w:line="276" w:lineRule="auto"/>
              <w:jc w:val="center"/>
            </w:pPr>
            <w:r/>
            <w:r>
              <w:rPr>
                <w:rFonts w:ascii="Calibri" w:hAnsi="Calibri" w:eastAsia="微软雅黑"/>
                <w:b w:val="0"/>
                <w:color w:val="0B2545"/>
                <w:sz w:val="16"/>
              </w:rPr>
              <w:t>MAK Technologies</w:t>
            </w:r>
          </w:p>
        </w:tc>
        <w:tc>
          <w:tcPr>
            <w:tcW w:type="dxa" w:w="2200"/>
          </w:tcPr>
          <w:p>
            <w:pPr>
              <w:spacing w:after="0" w:line="276" w:lineRule="auto"/>
            </w:pPr>
            <w:r/>
            <w:r>
              <w:rPr>
                <w:rFonts w:ascii="Calibri" w:hAnsi="Calibri" w:eastAsia="微软雅黑"/>
                <w:b w:val="0"/>
                <w:color w:val="0B2545"/>
                <w:sz w:val="16"/>
              </w:rPr>
              <w:t>VR-Forces / VR-Vantage 联合仿真</w:t>
            </w:r>
          </w:p>
        </w:tc>
        <w:tc>
          <w:tcPr>
            <w:tcW w:type="dxa" w:w="2700"/>
          </w:tcPr>
          <w:p>
            <w:pPr>
              <w:spacing w:after="0" w:line="276" w:lineRule="auto"/>
            </w:pPr>
            <w:r/>
            <w:r>
              <w:rPr>
                <w:rFonts w:ascii="Calibri" w:hAnsi="Calibri" w:eastAsia="微软雅黑"/>
                <w:b w:val="0"/>
                <w:color w:val="0B2545"/>
                <w:sz w:val="16"/>
              </w:rPr>
              <w:t>DIS/HLA、任务级仿真和系统集成。</w:t>
            </w:r>
          </w:p>
        </w:tc>
        <w:tc>
          <w:tcPr>
            <w:tcW w:type="dxa" w:w="2960"/>
          </w:tcPr>
          <w:p>
            <w:pPr>
              <w:spacing w:after="0" w:line="276" w:lineRule="auto"/>
            </w:pPr>
            <w:r/>
            <w:r>
              <w:rPr>
                <w:rFonts w:ascii="Calibri" w:hAnsi="Calibri" w:eastAsia="微软雅黑"/>
                <w:b w:val="0"/>
                <w:color w:val="0B2545"/>
                <w:sz w:val="16"/>
              </w:rPr>
              <w:t>接入公司 AFSIM/VR 资源，补齐红外感知通道。</w:t>
            </w:r>
          </w:p>
        </w:tc>
      </w:tr>
      <w:tr>
        <w:tc>
          <w:tcPr>
            <w:tcW w:type="dxa" w:w="1500"/>
          </w:tcPr>
          <w:p>
            <w:pPr>
              <w:spacing w:after="0" w:line="276" w:lineRule="auto"/>
              <w:jc w:val="center"/>
            </w:pPr>
            <w:r/>
            <w:r>
              <w:rPr>
                <w:rFonts w:ascii="Calibri" w:hAnsi="Calibri" w:eastAsia="微软雅黑"/>
                <w:b w:val="0"/>
                <w:color w:val="0B2545"/>
                <w:sz w:val="16"/>
              </w:rPr>
              <w:t>Ansys / AGI</w:t>
            </w:r>
          </w:p>
        </w:tc>
        <w:tc>
          <w:tcPr>
            <w:tcW w:type="dxa" w:w="2200"/>
          </w:tcPr>
          <w:p>
            <w:pPr>
              <w:spacing w:after="0" w:line="276" w:lineRule="auto"/>
            </w:pPr>
            <w:r/>
            <w:r>
              <w:rPr>
                <w:rFonts w:ascii="Calibri" w:hAnsi="Calibri" w:eastAsia="微软雅黑"/>
                <w:b w:val="0"/>
                <w:color w:val="0B2545"/>
                <w:sz w:val="16"/>
              </w:rPr>
              <w:t>STK 航天任务分析与载荷链路</w:t>
            </w:r>
          </w:p>
        </w:tc>
        <w:tc>
          <w:tcPr>
            <w:tcW w:type="dxa" w:w="2700"/>
          </w:tcPr>
          <w:p>
            <w:pPr>
              <w:spacing w:after="0" w:line="276" w:lineRule="auto"/>
            </w:pPr>
            <w:r/>
            <w:r>
              <w:rPr>
                <w:rFonts w:ascii="Calibri" w:hAnsi="Calibri" w:eastAsia="微软雅黑"/>
                <w:b w:val="0"/>
                <w:color w:val="0B2545"/>
                <w:sz w:val="16"/>
              </w:rPr>
              <w:t>轨道、星座、载荷和链路分析。</w:t>
            </w:r>
          </w:p>
        </w:tc>
        <w:tc>
          <w:tcPr>
            <w:tcW w:type="dxa" w:w="2960"/>
          </w:tcPr>
          <w:p>
            <w:pPr>
              <w:spacing w:after="0" w:line="276" w:lineRule="auto"/>
            </w:pPr>
            <w:r/>
            <w:r>
              <w:rPr>
                <w:rFonts w:ascii="Calibri" w:hAnsi="Calibri" w:eastAsia="微软雅黑"/>
                <w:b w:val="0"/>
                <w:color w:val="0B2545"/>
                <w:sz w:val="16"/>
              </w:rPr>
              <w:t>在商业航天场景中补充国产红外成像仿真和数据生成能力。</w:t>
            </w:r>
          </w:p>
        </w:tc>
      </w:tr>
    </w:tbl>
    <w:p>
      <w:pPr>
        <w:spacing w:after="80"/>
      </w:pPr>
    </w:p>
    <w:p>
      <w:pPr>
        <w:pStyle w:val="Heading1"/>
      </w:pPr>
      <w:r>
        <w:rPr>
          <w:rFonts w:ascii="Calibri" w:hAnsi="Calibri" w:eastAsia="微软雅黑"/>
          <w:b/>
          <w:color w:val="2E74B5"/>
          <w:sz w:val="32"/>
        </w:rPr>
        <w:t>九、实现路径与阶段规划</w:t>
      </w:r>
    </w:p>
    <w:p>
      <w:pPr>
        <w:spacing w:before="0" w:after="160" w:line="320" w:lineRule="auto"/>
        <w:jc w:val="both"/>
      </w:pPr>
      <w:r>
        <w:rPr>
          <w:rFonts w:ascii="Calibri" w:hAnsi="Calibri" w:eastAsia="微软雅黑"/>
          <w:b w:val="0"/>
          <w:color w:val="0B2545"/>
          <w:sz w:val="22"/>
        </w:rPr>
        <w:t>实现路径建议分三阶段推进，不把所有能力压到 V1.0。第一阶段先把红外仿真内核做成可交付产品，重点解决 GUI、接口、ARM 适配、模型库雏形和试点客户验收；第二阶段扩展行业方案包，重点围绕低空经济、军工半实物和商业航天建立可复制场景；第三阶段形成多模态传感器仿真平台，接入雷达、可见光、AI 数据生成和集团级任务仿真体系。</w:t>
      </w:r>
    </w:p>
    <w:tbl>
      <w:tblPr>
        <w:tblStyle w:val="TableGrid"/>
        <w:tblW w:type="dxa" w:w="9360"/>
        <w:jc w:val="left"/>
        <w:tblLayout w:type="fixed"/>
        <w:tblLook w:firstColumn="1" w:firstRow="1" w:lastColumn="0" w:lastRow="0" w:noHBand="0" w:noVBand="1" w:val="04A0"/>
        <w:tblInd w:w="120" w:type="dxa"/>
      </w:tblPr>
      <w:tblGrid>
        <w:gridCol w:w="1700"/>
        <w:gridCol w:w="1200"/>
        <w:gridCol w:w="4300"/>
        <w:gridCol w:w="2160"/>
      </w:tblGrid>
      <w:tr>
        <w:tc>
          <w:tcPr>
            <w:tcW w:type="dxa" w:w="1700"/>
            <w:vAlign w:val="center"/>
            <w:tcMar>
              <w:top w:w="80" w:type="dxa"/>
              <w:start w:w="120" w:type="dxa"/>
              <w:bottom w:w="80" w:type="dxa"/>
              <w:end w:w="120" w:type="dxa"/>
            </w:tcMar>
            <w:shd w:fill="E8F0FB"/>
          </w:tcPr>
          <w:p>
            <w:pPr>
              <w:spacing w:after="0" w:line="276" w:lineRule="auto"/>
              <w:jc w:val="center"/>
            </w:pPr>
            <w:r/>
            <w:r>
              <w:rPr>
                <w:rFonts w:ascii="Calibri" w:hAnsi="Calibri" w:eastAsia="微软雅黑"/>
                <w:b/>
                <w:color w:val="1F4D78"/>
                <w:sz w:val="19"/>
              </w:rPr>
              <w:t>阶段</w:t>
            </w:r>
          </w:p>
        </w:tc>
        <w:tc>
          <w:tcPr>
            <w:tcW w:type="dxa" w:w="1200"/>
            <w:vAlign w:val="center"/>
            <w:tcMar>
              <w:top w:w="80" w:type="dxa"/>
              <w:start w:w="120" w:type="dxa"/>
              <w:bottom w:w="80" w:type="dxa"/>
              <w:end w:w="120" w:type="dxa"/>
            </w:tcMar>
            <w:shd w:fill="E8F0FB"/>
          </w:tcPr>
          <w:p>
            <w:pPr>
              <w:spacing w:after="0" w:line="276" w:lineRule="auto"/>
              <w:jc w:val="center"/>
            </w:pPr>
            <w:r/>
            <w:r>
              <w:rPr>
                <w:rFonts w:ascii="Calibri" w:hAnsi="Calibri" w:eastAsia="微软雅黑"/>
                <w:b/>
                <w:color w:val="1F4D78"/>
                <w:sz w:val="19"/>
              </w:rPr>
              <w:t>版本</w:t>
            </w:r>
          </w:p>
        </w:tc>
        <w:tc>
          <w:tcPr>
            <w:tcW w:type="dxa" w:w="4300"/>
            <w:vAlign w:val="center"/>
            <w:tcMar>
              <w:top w:w="80" w:type="dxa"/>
              <w:start w:w="120" w:type="dxa"/>
              <w:bottom w:w="80" w:type="dxa"/>
              <w:end w:w="120" w:type="dxa"/>
            </w:tcMar>
            <w:shd w:fill="E8F0FB"/>
          </w:tcPr>
          <w:p>
            <w:pPr>
              <w:spacing w:after="0" w:line="276" w:lineRule="auto"/>
              <w:jc w:val="center"/>
            </w:pPr>
            <w:r/>
            <w:r>
              <w:rPr>
                <w:rFonts w:ascii="Calibri" w:hAnsi="Calibri" w:eastAsia="微软雅黑"/>
                <w:b/>
                <w:color w:val="1F4D78"/>
                <w:sz w:val="19"/>
              </w:rPr>
              <w:t>建设重点</w:t>
            </w:r>
          </w:p>
        </w:tc>
        <w:tc>
          <w:tcPr>
            <w:tcW w:type="dxa" w:w="2160"/>
            <w:vAlign w:val="center"/>
            <w:tcMar>
              <w:top w:w="80" w:type="dxa"/>
              <w:start w:w="120" w:type="dxa"/>
              <w:bottom w:w="80" w:type="dxa"/>
              <w:end w:w="120" w:type="dxa"/>
            </w:tcMar>
            <w:shd w:fill="E8F0FB"/>
          </w:tcPr>
          <w:p>
            <w:pPr>
              <w:spacing w:after="0" w:line="276" w:lineRule="auto"/>
              <w:jc w:val="center"/>
            </w:pPr>
            <w:r/>
            <w:r>
              <w:rPr>
                <w:rFonts w:ascii="Calibri" w:hAnsi="Calibri" w:eastAsia="微软雅黑"/>
                <w:b/>
                <w:color w:val="1F4D78"/>
                <w:sz w:val="19"/>
              </w:rPr>
              <w:t>阶段成果</w:t>
            </w:r>
          </w:p>
        </w:tc>
      </w:tr>
      <w:tr>
        <w:tc>
          <w:tcPr>
            <w:tcW w:type="dxa" w:w="1700"/>
          </w:tcPr>
          <w:p>
            <w:pPr>
              <w:spacing w:after="0" w:line="276" w:lineRule="auto"/>
              <w:jc w:val="center"/>
            </w:pPr>
            <w:r/>
            <w:r>
              <w:rPr>
                <w:rFonts w:ascii="Calibri" w:hAnsi="Calibri" w:eastAsia="微软雅黑"/>
                <w:b w:val="0"/>
                <w:color w:val="0B2545"/>
                <w:sz w:val="18"/>
              </w:rPr>
              <w:t>阶段一：2026-2027</w:t>
            </w:r>
          </w:p>
        </w:tc>
        <w:tc>
          <w:tcPr>
            <w:tcW w:type="dxa" w:w="1200"/>
          </w:tcPr>
          <w:p>
            <w:pPr>
              <w:spacing w:after="0" w:line="276" w:lineRule="auto"/>
            </w:pPr>
            <w:r/>
            <w:r>
              <w:rPr>
                <w:rFonts w:ascii="Calibri" w:hAnsi="Calibri" w:eastAsia="微软雅黑"/>
                <w:b w:val="0"/>
                <w:color w:val="0B2545"/>
                <w:sz w:val="18"/>
              </w:rPr>
              <w:t>V1.0/V1.5</w:t>
            </w:r>
          </w:p>
        </w:tc>
        <w:tc>
          <w:tcPr>
            <w:tcW w:type="dxa" w:w="4300"/>
          </w:tcPr>
          <w:p>
            <w:pPr>
              <w:spacing w:after="0" w:line="276" w:lineRule="auto"/>
            </w:pPr>
            <w:r/>
            <w:r>
              <w:rPr>
                <w:rFonts w:ascii="Calibri" w:hAnsi="Calibri" w:eastAsia="微软雅黑"/>
                <w:b w:val="0"/>
                <w:color w:val="0B2545"/>
                <w:sz w:val="18"/>
              </w:rPr>
              <w:t>红外内核产品化、GUI 原型、SDK/API、国产 ARM 适配、军工试点客户。</w:t>
            </w:r>
          </w:p>
        </w:tc>
        <w:tc>
          <w:tcPr>
            <w:tcW w:type="dxa" w:w="2160"/>
          </w:tcPr>
          <w:p>
            <w:pPr>
              <w:spacing w:after="0" w:line="276" w:lineRule="auto"/>
            </w:pPr>
            <w:r/>
            <w:r>
              <w:rPr>
                <w:rFonts w:ascii="Calibri" w:hAnsi="Calibri" w:eastAsia="微软雅黑"/>
                <w:b w:val="0"/>
                <w:color w:val="0B2545"/>
                <w:sz w:val="18"/>
              </w:rPr>
              <w:t>形成可演示、可部署、可验收的最小产品闭环。</w:t>
            </w:r>
          </w:p>
        </w:tc>
      </w:tr>
      <w:tr>
        <w:tc>
          <w:tcPr>
            <w:tcW w:type="dxa" w:w="1700"/>
          </w:tcPr>
          <w:p>
            <w:pPr>
              <w:spacing w:after="0" w:line="276" w:lineRule="auto"/>
              <w:jc w:val="center"/>
            </w:pPr>
            <w:r/>
            <w:r>
              <w:rPr>
                <w:rFonts w:ascii="Calibri" w:hAnsi="Calibri" w:eastAsia="微软雅黑"/>
                <w:b w:val="0"/>
                <w:color w:val="0B2545"/>
                <w:sz w:val="18"/>
              </w:rPr>
              <w:t>阶段二：2028</w:t>
            </w:r>
          </w:p>
        </w:tc>
        <w:tc>
          <w:tcPr>
            <w:tcW w:type="dxa" w:w="1200"/>
          </w:tcPr>
          <w:p>
            <w:pPr>
              <w:spacing w:after="0" w:line="276" w:lineRule="auto"/>
            </w:pPr>
            <w:r/>
            <w:r>
              <w:rPr>
                <w:rFonts w:ascii="Calibri" w:hAnsi="Calibri" w:eastAsia="微软雅黑"/>
                <w:b w:val="0"/>
                <w:color w:val="0B2545"/>
                <w:sz w:val="18"/>
              </w:rPr>
              <w:t>V2.0</w:t>
            </w:r>
          </w:p>
        </w:tc>
        <w:tc>
          <w:tcPr>
            <w:tcW w:type="dxa" w:w="4300"/>
          </w:tcPr>
          <w:p>
            <w:pPr>
              <w:spacing w:after="0" w:line="276" w:lineRule="auto"/>
            </w:pPr>
            <w:r/>
            <w:r>
              <w:rPr>
                <w:rFonts w:ascii="Calibri" w:hAnsi="Calibri" w:eastAsia="微软雅黑"/>
                <w:b w:val="0"/>
                <w:color w:val="0B2545"/>
                <w:sz w:val="18"/>
              </w:rPr>
              <w:t>低空无人机场景包、商业航天载荷仿真包、AFSIM/VR 接口、UE5 高保真分支、模型库商品化。</w:t>
            </w:r>
          </w:p>
        </w:tc>
        <w:tc>
          <w:tcPr>
            <w:tcW w:type="dxa" w:w="2160"/>
          </w:tcPr>
          <w:p>
            <w:pPr>
              <w:spacing w:after="0" w:line="276" w:lineRule="auto"/>
            </w:pPr>
            <w:r/>
            <w:r>
              <w:rPr>
                <w:rFonts w:ascii="Calibri" w:hAnsi="Calibri" w:eastAsia="微软雅黑"/>
                <w:b w:val="0"/>
                <w:color w:val="0B2545"/>
                <w:sz w:val="18"/>
              </w:rPr>
              <w:t>形成可复制行业解决方案和标杆案例。</w:t>
            </w:r>
          </w:p>
        </w:tc>
      </w:tr>
      <w:tr>
        <w:tc>
          <w:tcPr>
            <w:tcW w:type="dxa" w:w="1700"/>
          </w:tcPr>
          <w:p>
            <w:pPr>
              <w:spacing w:after="0" w:line="276" w:lineRule="auto"/>
              <w:jc w:val="center"/>
            </w:pPr>
            <w:r/>
            <w:r>
              <w:rPr>
                <w:rFonts w:ascii="Calibri" w:hAnsi="Calibri" w:eastAsia="微软雅黑"/>
                <w:b w:val="0"/>
                <w:color w:val="0B2545"/>
                <w:sz w:val="18"/>
              </w:rPr>
              <w:t>阶段三：2029-2030</w:t>
            </w:r>
          </w:p>
        </w:tc>
        <w:tc>
          <w:tcPr>
            <w:tcW w:type="dxa" w:w="1200"/>
          </w:tcPr>
          <w:p>
            <w:pPr>
              <w:spacing w:after="0" w:line="276" w:lineRule="auto"/>
            </w:pPr>
            <w:r/>
            <w:r>
              <w:rPr>
                <w:rFonts w:ascii="Calibri" w:hAnsi="Calibri" w:eastAsia="微软雅黑"/>
                <w:b w:val="0"/>
                <w:color w:val="0B2545"/>
                <w:sz w:val="18"/>
              </w:rPr>
              <w:t>V3.0</w:t>
            </w:r>
          </w:p>
        </w:tc>
        <w:tc>
          <w:tcPr>
            <w:tcW w:type="dxa" w:w="4300"/>
          </w:tcPr>
          <w:p>
            <w:pPr>
              <w:spacing w:after="0" w:line="276" w:lineRule="auto"/>
            </w:pPr>
            <w:r/>
            <w:r>
              <w:rPr>
                <w:rFonts w:ascii="Calibri" w:hAnsi="Calibri" w:eastAsia="微软雅黑"/>
                <w:b w:val="0"/>
                <w:color w:val="0B2545"/>
                <w:sz w:val="18"/>
              </w:rPr>
              <w:t>红外 + 雷达 + 可见光多模态仿真，AI 合成数据服务，跨平台规模化交付。</w:t>
            </w:r>
          </w:p>
        </w:tc>
        <w:tc>
          <w:tcPr>
            <w:tcW w:type="dxa" w:w="2160"/>
          </w:tcPr>
          <w:p>
            <w:pPr>
              <w:spacing w:after="0" w:line="276" w:lineRule="auto"/>
            </w:pPr>
            <w:r/>
            <w:r>
              <w:rPr>
                <w:rFonts w:ascii="Calibri" w:hAnsi="Calibri" w:eastAsia="微软雅黑"/>
                <w:b w:val="0"/>
                <w:color w:val="0B2545"/>
                <w:sz w:val="18"/>
              </w:rPr>
              <w:t>形成集团级传感器仿真平台和持续收入产品线。</w:t>
            </w:r>
          </w:p>
        </w:tc>
      </w:tr>
    </w:tbl>
    <w:p>
      <w:pPr>
        <w:spacing w:after="80"/>
      </w:pPr>
    </w:p>
    <w:p>
      <w:pPr>
        <w:pStyle w:val="Heading1"/>
      </w:pPr>
      <w:r>
        <w:rPr>
          <w:rFonts w:ascii="Calibri" w:hAnsi="Calibri" w:eastAsia="微软雅黑"/>
          <w:b/>
          <w:color w:val="2E74B5"/>
          <w:sz w:val="32"/>
        </w:rPr>
        <w:t>十、投入产出与资源需求</w:t>
      </w:r>
    </w:p>
    <w:p>
      <w:pPr>
        <w:spacing w:before="0" w:after="160" w:line="320" w:lineRule="auto"/>
        <w:jc w:val="both"/>
      </w:pPr>
      <w:r>
        <w:rPr>
          <w:rFonts w:ascii="Calibri" w:hAnsi="Calibri" w:eastAsia="微软雅黑"/>
          <w:b w:val="0"/>
          <w:color w:val="0B2545"/>
          <w:sz w:val="22"/>
        </w:rPr>
        <w:t>投入产出需要按“核心团队 + 项目牵引 + 产品沉淀”的逻辑理解。首年不建议搭建过大的固定团队，而应以 5-6 人核心团队形成 V1.0 最小闭环；第二、三年结合试点客户和行业方案扩展到 8-10 人；第四、五年如果产品复制和多模态平台路线成立，再扩展到 10-12 人左右。固定资产投入主要集中在国产 ARM 板卡、红外相机、测试工位、数据存储、模型库和校准环境。</w:t>
      </w:r>
    </w:p>
    <w:tbl>
      <w:tblPr>
        <w:tblStyle w:val="TableGrid"/>
        <w:tblW w:type="dxa" w:w="9360"/>
        <w:jc w:val="left"/>
        <w:tblLayout w:type="fixed"/>
        <w:tblLook w:firstColumn="1" w:firstRow="1" w:lastColumn="0" w:lastRow="0" w:noHBand="0" w:noVBand="1" w:val="04A0"/>
        <w:tblInd w:w="120" w:type="dxa"/>
      </w:tblPr>
      <w:tblGrid>
        <w:gridCol w:w="1100"/>
        <w:gridCol w:w="1300"/>
        <w:gridCol w:w="2500"/>
        <w:gridCol w:w="2500"/>
        <w:gridCol w:w="1960"/>
      </w:tblGrid>
      <w:tr>
        <w:tc>
          <w:tcPr>
            <w:tcW w:type="dxa" w:w="11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阶段</w:t>
            </w:r>
          </w:p>
        </w:tc>
        <w:tc>
          <w:tcPr>
            <w:tcW w:type="dxa" w:w="13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人员投入</w:t>
            </w:r>
          </w:p>
        </w:tc>
        <w:tc>
          <w:tcPr>
            <w:tcW w:type="dxa" w:w="25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固定资产/数据投入</w:t>
            </w:r>
          </w:p>
        </w:tc>
        <w:tc>
          <w:tcPr>
            <w:tcW w:type="dxa" w:w="25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产出方式</w:t>
            </w:r>
          </w:p>
        </w:tc>
        <w:tc>
          <w:tcPr>
            <w:tcW w:type="dxa" w:w="196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沉淀资产</w:t>
            </w:r>
          </w:p>
        </w:tc>
      </w:tr>
      <w:tr>
        <w:tc>
          <w:tcPr>
            <w:tcW w:type="dxa" w:w="1100"/>
          </w:tcPr>
          <w:p>
            <w:pPr>
              <w:spacing w:after="0" w:line="276" w:lineRule="auto"/>
              <w:jc w:val="center"/>
            </w:pPr>
            <w:r/>
            <w:r>
              <w:rPr>
                <w:rFonts w:ascii="Calibri" w:hAnsi="Calibri" w:eastAsia="微软雅黑"/>
                <w:b w:val="0"/>
                <w:color w:val="0B2545"/>
                <w:sz w:val="16"/>
              </w:rPr>
              <w:t>第 1 年</w:t>
            </w:r>
          </w:p>
        </w:tc>
        <w:tc>
          <w:tcPr>
            <w:tcW w:type="dxa" w:w="1300"/>
          </w:tcPr>
          <w:p>
            <w:pPr>
              <w:spacing w:after="0" w:line="276" w:lineRule="auto"/>
            </w:pPr>
            <w:r/>
            <w:r>
              <w:rPr>
                <w:rFonts w:ascii="Calibri" w:hAnsi="Calibri" w:eastAsia="微软雅黑"/>
                <w:b w:val="0"/>
                <w:color w:val="0B2545"/>
                <w:sz w:val="16"/>
              </w:rPr>
              <w:t>5-6 人</w:t>
            </w:r>
          </w:p>
        </w:tc>
        <w:tc>
          <w:tcPr>
            <w:tcW w:type="dxa" w:w="2500"/>
          </w:tcPr>
          <w:p>
            <w:pPr>
              <w:spacing w:after="0" w:line="276" w:lineRule="auto"/>
            </w:pPr>
            <w:r/>
            <w:r>
              <w:rPr>
                <w:rFonts w:ascii="Calibri" w:hAnsi="Calibri" w:eastAsia="微软雅黑"/>
                <w:b w:val="0"/>
                <w:color w:val="0B2545"/>
                <w:sz w:val="16"/>
              </w:rPr>
              <w:t>ARM 板卡、红外相机、测试工位、基础模型库</w:t>
            </w:r>
          </w:p>
        </w:tc>
        <w:tc>
          <w:tcPr>
            <w:tcW w:type="dxa" w:w="2500"/>
          </w:tcPr>
          <w:p>
            <w:pPr>
              <w:spacing w:after="0" w:line="276" w:lineRule="auto"/>
            </w:pPr>
            <w:r/>
            <w:r>
              <w:rPr>
                <w:rFonts w:ascii="Calibri" w:hAnsi="Calibri" w:eastAsia="微软雅黑"/>
                <w:b w:val="0"/>
                <w:color w:val="0B2545"/>
                <w:sz w:val="16"/>
              </w:rPr>
              <w:t>内部节支、原型验证、2-3 家试点客户需求定义。</w:t>
            </w:r>
          </w:p>
        </w:tc>
        <w:tc>
          <w:tcPr>
            <w:tcW w:type="dxa" w:w="1960"/>
          </w:tcPr>
          <w:p>
            <w:pPr>
              <w:spacing w:after="0" w:line="276" w:lineRule="auto"/>
            </w:pPr>
            <w:r/>
            <w:r>
              <w:rPr>
                <w:rFonts w:ascii="Calibri" w:hAnsi="Calibri" w:eastAsia="微软雅黑"/>
                <w:b w:val="0"/>
                <w:color w:val="0B2545"/>
                <w:sz w:val="16"/>
              </w:rPr>
              <w:t>形成 V1.0、软著申请、试点演示材料。</w:t>
            </w:r>
          </w:p>
        </w:tc>
      </w:tr>
      <w:tr>
        <w:tc>
          <w:tcPr>
            <w:tcW w:type="dxa" w:w="1100"/>
          </w:tcPr>
          <w:p>
            <w:pPr>
              <w:spacing w:after="0" w:line="276" w:lineRule="auto"/>
              <w:jc w:val="center"/>
            </w:pPr>
            <w:r/>
            <w:r>
              <w:rPr>
                <w:rFonts w:ascii="Calibri" w:hAnsi="Calibri" w:eastAsia="微软雅黑"/>
                <w:b w:val="0"/>
                <w:color w:val="0B2545"/>
                <w:sz w:val="16"/>
              </w:rPr>
              <w:t>第 2-3 年</w:t>
            </w:r>
          </w:p>
        </w:tc>
        <w:tc>
          <w:tcPr>
            <w:tcW w:type="dxa" w:w="1300"/>
          </w:tcPr>
          <w:p>
            <w:pPr>
              <w:spacing w:after="0" w:line="276" w:lineRule="auto"/>
            </w:pPr>
            <w:r/>
            <w:r>
              <w:rPr>
                <w:rFonts w:ascii="Calibri" w:hAnsi="Calibri" w:eastAsia="微软雅黑"/>
                <w:b w:val="0"/>
                <w:color w:val="0B2545"/>
                <w:sz w:val="16"/>
              </w:rPr>
              <w:t>8-10 人</w:t>
            </w:r>
          </w:p>
        </w:tc>
        <w:tc>
          <w:tcPr>
            <w:tcW w:type="dxa" w:w="2500"/>
          </w:tcPr>
          <w:p>
            <w:pPr>
              <w:spacing w:after="0" w:line="276" w:lineRule="auto"/>
            </w:pPr>
            <w:r/>
            <w:r>
              <w:rPr>
                <w:rFonts w:ascii="Calibri" w:hAnsi="Calibri" w:eastAsia="微软雅黑"/>
                <w:b w:val="0"/>
                <w:color w:val="0B2545"/>
                <w:sz w:val="16"/>
              </w:rPr>
              <w:t>测试环境扩展、数据/模型库、客户交付环境</w:t>
            </w:r>
          </w:p>
        </w:tc>
        <w:tc>
          <w:tcPr>
            <w:tcW w:type="dxa" w:w="2500"/>
          </w:tcPr>
          <w:p>
            <w:pPr>
              <w:spacing w:after="0" w:line="276" w:lineRule="auto"/>
            </w:pPr>
            <w:r/>
            <w:r>
              <w:rPr>
                <w:rFonts w:ascii="Calibri" w:hAnsi="Calibri" w:eastAsia="微软雅黑"/>
                <w:b w:val="0"/>
                <w:color w:val="0B2545"/>
                <w:sz w:val="16"/>
              </w:rPr>
              <w:t>试点销售、军工半实物方案、低空/航天方案复制。</w:t>
            </w:r>
          </w:p>
        </w:tc>
        <w:tc>
          <w:tcPr>
            <w:tcW w:type="dxa" w:w="1960"/>
          </w:tcPr>
          <w:p>
            <w:pPr>
              <w:spacing w:after="0" w:line="276" w:lineRule="auto"/>
            </w:pPr>
            <w:r/>
            <w:r>
              <w:rPr>
                <w:rFonts w:ascii="Calibri" w:hAnsi="Calibri" w:eastAsia="微软雅黑"/>
                <w:b w:val="0"/>
                <w:color w:val="0B2545"/>
                <w:sz w:val="16"/>
              </w:rPr>
              <w:t>形成 3 年可销售版本、标杆案例、专利/技术秘密。</w:t>
            </w:r>
          </w:p>
        </w:tc>
      </w:tr>
      <w:tr>
        <w:tc>
          <w:tcPr>
            <w:tcW w:type="dxa" w:w="1100"/>
          </w:tcPr>
          <w:p>
            <w:pPr>
              <w:spacing w:after="0" w:line="276" w:lineRule="auto"/>
              <w:jc w:val="center"/>
            </w:pPr>
            <w:r/>
            <w:r>
              <w:rPr>
                <w:rFonts w:ascii="Calibri" w:hAnsi="Calibri" w:eastAsia="微软雅黑"/>
                <w:b w:val="0"/>
                <w:color w:val="0B2545"/>
                <w:sz w:val="16"/>
              </w:rPr>
              <w:t>第 4-5 年</w:t>
            </w:r>
          </w:p>
        </w:tc>
        <w:tc>
          <w:tcPr>
            <w:tcW w:type="dxa" w:w="1300"/>
          </w:tcPr>
          <w:p>
            <w:pPr>
              <w:spacing w:after="0" w:line="276" w:lineRule="auto"/>
            </w:pPr>
            <w:r/>
            <w:r>
              <w:rPr>
                <w:rFonts w:ascii="Calibri" w:hAnsi="Calibri" w:eastAsia="微软雅黑"/>
                <w:b w:val="0"/>
                <w:color w:val="0B2545"/>
                <w:sz w:val="16"/>
              </w:rPr>
              <w:t>10-12 人</w:t>
            </w:r>
          </w:p>
        </w:tc>
        <w:tc>
          <w:tcPr>
            <w:tcW w:type="dxa" w:w="2500"/>
          </w:tcPr>
          <w:p>
            <w:pPr>
              <w:spacing w:after="0" w:line="276" w:lineRule="auto"/>
            </w:pPr>
            <w:r/>
            <w:r>
              <w:rPr>
                <w:rFonts w:ascii="Calibri" w:hAnsi="Calibri" w:eastAsia="微软雅黑"/>
                <w:b w:val="0"/>
                <w:color w:val="0B2545"/>
                <w:sz w:val="16"/>
              </w:rPr>
              <w:t>多模态测试环境、AI 数据生成平台、规模化交付工具</w:t>
            </w:r>
          </w:p>
        </w:tc>
        <w:tc>
          <w:tcPr>
            <w:tcW w:type="dxa" w:w="2500"/>
          </w:tcPr>
          <w:p>
            <w:pPr>
              <w:spacing w:after="0" w:line="276" w:lineRule="auto"/>
            </w:pPr>
            <w:r/>
            <w:r>
              <w:rPr>
                <w:rFonts w:ascii="Calibri" w:hAnsi="Calibri" w:eastAsia="微软雅黑"/>
                <w:b w:val="0"/>
                <w:color w:val="0B2545"/>
                <w:sz w:val="16"/>
              </w:rPr>
              <w:t>产品授权、行业解决方案、维护服务、模型库服务、AI 数据服务。</w:t>
            </w:r>
          </w:p>
        </w:tc>
        <w:tc>
          <w:tcPr>
            <w:tcW w:type="dxa" w:w="1960"/>
          </w:tcPr>
          <w:p>
            <w:pPr>
              <w:spacing w:after="0" w:line="276" w:lineRule="auto"/>
            </w:pPr>
            <w:r/>
            <w:r>
              <w:rPr>
                <w:rFonts w:ascii="Calibri" w:hAnsi="Calibri" w:eastAsia="微软雅黑"/>
                <w:b w:val="0"/>
                <w:color w:val="0B2545"/>
                <w:sz w:val="16"/>
              </w:rPr>
              <w:t>形成传感器仿真产品线和集团平台复用能力。</w:t>
            </w:r>
          </w:p>
        </w:tc>
      </w:tr>
    </w:tbl>
    <w:p>
      <w:pPr>
        <w:spacing w:after="8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FFF3E5"/>
          </w:tcPr>
          <w:p>
            <w:pPr>
              <w:spacing w:after="80"/>
            </w:pPr>
            <w:r>
              <w:rPr>
                <w:rFonts w:ascii="Calibri" w:hAnsi="Calibri" w:eastAsia="微软雅黑"/>
                <w:b/>
                <w:color w:val="1F4D78"/>
                <w:sz w:val="23"/>
              </w:rPr>
              <w:t>经营逻辑</w:t>
            </w:r>
          </w:p>
          <w:p>
            <w:pPr>
              <w:spacing w:after="0" w:line="300" w:lineRule="auto"/>
            </w:pPr>
            <w:r>
              <w:rPr>
                <w:rFonts w:ascii="Calibri" w:hAnsi="Calibri" w:eastAsia="微软雅黑"/>
                <w:color w:val="0B2545"/>
                <w:sz w:val="21"/>
              </w:rPr>
              <w:t>前期以军工和低空项目验证付费能力，中期把 GUI、接口、模型库和部署包沉淀成可复制产品，后期通过产品授权、行业解决方案、年度维护、模型库服务和 AI 数据生成服务形成复合收入。</w:t>
            </w:r>
          </w:p>
        </w:tc>
      </w:tr>
    </w:tbl>
    <w:p>
      <w:pPr>
        <w:spacing w:after="40"/>
      </w:pPr>
    </w:p>
    <w:p>
      <w:pPr>
        <w:pStyle w:val="Heading1"/>
      </w:pPr>
      <w:r>
        <w:rPr>
          <w:rFonts w:ascii="Calibri" w:hAnsi="Calibri" w:eastAsia="微软雅黑"/>
          <w:b/>
          <w:color w:val="2E74B5"/>
          <w:sz w:val="32"/>
        </w:rPr>
        <w:t>十一、AI 化方向</w:t>
      </w:r>
    </w:p>
    <w:p>
      <w:pPr>
        <w:spacing w:before="0" w:after="160" w:line="320" w:lineRule="auto"/>
        <w:jc w:val="both"/>
      </w:pPr>
      <w:r>
        <w:rPr>
          <w:rFonts w:ascii="Calibri" w:hAnsi="Calibri" w:eastAsia="微软雅黑"/>
          <w:b w:val="0"/>
          <w:color w:val="0B2545"/>
          <w:sz w:val="22"/>
        </w:rPr>
        <w:t>AI 化不应停留在宣传口径，而应落在四个具体能力上。第一是场景自动生成，根据任务描述、区域类型、目标类型和天气条件生成低空、航天、安防或靶场场景，减少人工建模工作量。第二是参数反演与校准，利用实测红外图像反推材料、温度、大气和传感器参数，提高仿真可信度。第三是红外合成数据生成，为目标识别、跟踪、融合感知算法提供可控、可标注、可批量生成的数据。第四是自动评测，自动生成测试用例、解析日志、发现异常并输出验收报告。</w:t>
      </w:r>
    </w:p>
    <w:tbl>
      <w:tblPr>
        <w:tblStyle w:val="TableGrid"/>
        <w:tblW w:type="dxa" w:w="9360"/>
        <w:jc w:val="left"/>
        <w:tblLayout w:type="fixed"/>
        <w:tblLook w:firstColumn="1" w:firstRow="1" w:lastColumn="0" w:lastRow="0" w:noHBand="0" w:noVBand="1" w:val="04A0"/>
        <w:tblInd w:w="120" w:type="dxa"/>
      </w:tblPr>
      <w:tblGrid>
        <w:gridCol w:w="1800"/>
        <w:gridCol w:w="4100"/>
        <w:gridCol w:w="3460"/>
      </w:tblGrid>
      <w:tr>
        <w:tc>
          <w:tcPr>
            <w:tcW w:type="dxa" w:w="1800"/>
            <w:vAlign w:val="center"/>
            <w:tcMar>
              <w:top w:w="80" w:type="dxa"/>
              <w:start w:w="120" w:type="dxa"/>
              <w:bottom w:w="80" w:type="dxa"/>
              <w:end w:w="120" w:type="dxa"/>
            </w:tcMar>
            <w:shd w:fill="E8F0FB"/>
          </w:tcPr>
          <w:p>
            <w:pPr>
              <w:spacing w:after="0" w:line="276" w:lineRule="auto"/>
              <w:jc w:val="center"/>
            </w:pPr>
            <w:r/>
            <w:r>
              <w:rPr>
                <w:rFonts w:ascii="Calibri" w:hAnsi="Calibri" w:eastAsia="微软雅黑"/>
                <w:b/>
                <w:color w:val="1F4D78"/>
                <w:sz w:val="19"/>
              </w:rPr>
              <w:t>AI 能力</w:t>
            </w:r>
          </w:p>
        </w:tc>
        <w:tc>
          <w:tcPr>
            <w:tcW w:type="dxa" w:w="4100"/>
            <w:vAlign w:val="center"/>
            <w:tcMar>
              <w:top w:w="80" w:type="dxa"/>
              <w:start w:w="120" w:type="dxa"/>
              <w:bottom w:w="80" w:type="dxa"/>
              <w:end w:w="120" w:type="dxa"/>
            </w:tcMar>
            <w:shd w:fill="E8F0FB"/>
          </w:tcPr>
          <w:p>
            <w:pPr>
              <w:spacing w:after="0" w:line="276" w:lineRule="auto"/>
              <w:jc w:val="center"/>
            </w:pPr>
            <w:r/>
            <w:r>
              <w:rPr>
                <w:rFonts w:ascii="Calibri" w:hAnsi="Calibri" w:eastAsia="微软雅黑"/>
                <w:b/>
                <w:color w:val="1F4D78"/>
                <w:sz w:val="19"/>
              </w:rPr>
              <w:t>说明</w:t>
            </w:r>
          </w:p>
        </w:tc>
        <w:tc>
          <w:tcPr>
            <w:tcW w:type="dxa" w:w="3460"/>
            <w:vAlign w:val="center"/>
            <w:tcMar>
              <w:top w:w="80" w:type="dxa"/>
              <w:start w:w="120" w:type="dxa"/>
              <w:bottom w:w="80" w:type="dxa"/>
              <w:end w:w="120" w:type="dxa"/>
            </w:tcMar>
            <w:shd w:fill="E8F0FB"/>
          </w:tcPr>
          <w:p>
            <w:pPr>
              <w:spacing w:after="0" w:line="276" w:lineRule="auto"/>
              <w:jc w:val="center"/>
            </w:pPr>
            <w:r/>
            <w:r>
              <w:rPr>
                <w:rFonts w:ascii="Calibri" w:hAnsi="Calibri" w:eastAsia="微软雅黑"/>
                <w:b/>
                <w:color w:val="1F4D78"/>
                <w:sz w:val="19"/>
              </w:rPr>
              <w:t>产品价值</w:t>
            </w:r>
          </w:p>
        </w:tc>
      </w:tr>
      <w:tr>
        <w:tc>
          <w:tcPr>
            <w:tcW w:type="dxa" w:w="1800"/>
          </w:tcPr>
          <w:p>
            <w:pPr>
              <w:spacing w:after="0" w:line="276" w:lineRule="auto"/>
              <w:jc w:val="center"/>
            </w:pPr>
            <w:r/>
            <w:r>
              <w:rPr>
                <w:rFonts w:ascii="Calibri" w:hAnsi="Calibri" w:eastAsia="微软雅黑"/>
                <w:b w:val="0"/>
                <w:color w:val="0B2545"/>
                <w:sz w:val="18"/>
              </w:rPr>
              <w:t>场景自动生成</w:t>
            </w:r>
          </w:p>
        </w:tc>
        <w:tc>
          <w:tcPr>
            <w:tcW w:type="dxa" w:w="4100"/>
          </w:tcPr>
          <w:p>
            <w:pPr>
              <w:spacing w:after="0" w:line="276" w:lineRule="auto"/>
            </w:pPr>
            <w:r/>
            <w:r>
              <w:rPr>
                <w:rFonts w:ascii="Calibri" w:hAnsi="Calibri" w:eastAsia="微软雅黑"/>
                <w:b w:val="0"/>
                <w:color w:val="0B2545"/>
                <w:sz w:val="18"/>
              </w:rPr>
              <w:t>根据文字任务、模板和历史场景快速生成仿真工况。</w:t>
            </w:r>
          </w:p>
        </w:tc>
        <w:tc>
          <w:tcPr>
            <w:tcW w:type="dxa" w:w="3460"/>
          </w:tcPr>
          <w:p>
            <w:pPr>
              <w:spacing w:after="0" w:line="276" w:lineRule="auto"/>
            </w:pPr>
            <w:r/>
            <w:r>
              <w:rPr>
                <w:rFonts w:ascii="Calibri" w:hAnsi="Calibri" w:eastAsia="微软雅黑"/>
                <w:b w:val="0"/>
                <w:color w:val="0B2545"/>
                <w:sz w:val="18"/>
              </w:rPr>
              <w:t>减少售前和试验准备时间，适合低空和航天批量场景。</w:t>
            </w:r>
          </w:p>
        </w:tc>
      </w:tr>
      <w:tr>
        <w:tc>
          <w:tcPr>
            <w:tcW w:type="dxa" w:w="1800"/>
          </w:tcPr>
          <w:p>
            <w:pPr>
              <w:spacing w:after="0" w:line="276" w:lineRule="auto"/>
              <w:jc w:val="center"/>
            </w:pPr>
            <w:r/>
            <w:r>
              <w:rPr>
                <w:rFonts w:ascii="Calibri" w:hAnsi="Calibri" w:eastAsia="微软雅黑"/>
                <w:b w:val="0"/>
                <w:color w:val="0B2545"/>
                <w:sz w:val="18"/>
              </w:rPr>
              <w:t>参数反演校准</w:t>
            </w:r>
          </w:p>
        </w:tc>
        <w:tc>
          <w:tcPr>
            <w:tcW w:type="dxa" w:w="4100"/>
          </w:tcPr>
          <w:p>
            <w:pPr>
              <w:spacing w:after="0" w:line="276" w:lineRule="auto"/>
            </w:pPr>
            <w:r/>
            <w:r>
              <w:rPr>
                <w:rFonts w:ascii="Calibri" w:hAnsi="Calibri" w:eastAsia="微软雅黑"/>
                <w:b w:val="0"/>
                <w:color w:val="0B2545"/>
                <w:sz w:val="18"/>
              </w:rPr>
              <w:t>结合实测图像反推温度、材质、大气和传感器参数。</w:t>
            </w:r>
          </w:p>
        </w:tc>
        <w:tc>
          <w:tcPr>
            <w:tcW w:type="dxa" w:w="3460"/>
          </w:tcPr>
          <w:p>
            <w:pPr>
              <w:spacing w:after="0" w:line="276" w:lineRule="auto"/>
            </w:pPr>
            <w:r/>
            <w:r>
              <w:rPr>
                <w:rFonts w:ascii="Calibri" w:hAnsi="Calibri" w:eastAsia="微软雅黑"/>
                <w:b w:val="0"/>
                <w:color w:val="0B2545"/>
                <w:sz w:val="18"/>
              </w:rPr>
              <w:t>提升红外仿真可信度，为军工验收提供依据。</w:t>
            </w:r>
          </w:p>
        </w:tc>
      </w:tr>
      <w:tr>
        <w:tc>
          <w:tcPr>
            <w:tcW w:type="dxa" w:w="1800"/>
          </w:tcPr>
          <w:p>
            <w:pPr>
              <w:spacing w:after="0" w:line="276" w:lineRule="auto"/>
              <w:jc w:val="center"/>
            </w:pPr>
            <w:r/>
            <w:r>
              <w:rPr>
                <w:rFonts w:ascii="Calibri" w:hAnsi="Calibri" w:eastAsia="微软雅黑"/>
                <w:b w:val="0"/>
                <w:color w:val="0B2545"/>
                <w:sz w:val="18"/>
              </w:rPr>
              <w:t>合成数据服务</w:t>
            </w:r>
          </w:p>
        </w:tc>
        <w:tc>
          <w:tcPr>
            <w:tcW w:type="dxa" w:w="4100"/>
          </w:tcPr>
          <w:p>
            <w:pPr>
              <w:spacing w:after="0" w:line="276" w:lineRule="auto"/>
            </w:pPr>
            <w:r/>
            <w:r>
              <w:rPr>
                <w:rFonts w:ascii="Calibri" w:hAnsi="Calibri" w:eastAsia="微软雅黑"/>
                <w:b w:val="0"/>
                <w:color w:val="0B2545"/>
                <w:sz w:val="18"/>
              </w:rPr>
              <w:t>生成红外目标识别、跟踪、融合感知训练数据。</w:t>
            </w:r>
          </w:p>
        </w:tc>
        <w:tc>
          <w:tcPr>
            <w:tcW w:type="dxa" w:w="3460"/>
          </w:tcPr>
          <w:p>
            <w:pPr>
              <w:spacing w:after="0" w:line="276" w:lineRule="auto"/>
            </w:pPr>
            <w:r/>
            <w:r>
              <w:rPr>
                <w:rFonts w:ascii="Calibri" w:hAnsi="Calibri" w:eastAsia="微软雅黑"/>
                <w:b w:val="0"/>
                <w:color w:val="0B2545"/>
                <w:sz w:val="18"/>
              </w:rPr>
              <w:t>服务算法团队，也可作为对外增值服务。</w:t>
            </w:r>
          </w:p>
        </w:tc>
      </w:tr>
      <w:tr>
        <w:tc>
          <w:tcPr>
            <w:tcW w:type="dxa" w:w="1800"/>
          </w:tcPr>
          <w:p>
            <w:pPr>
              <w:spacing w:after="0" w:line="276" w:lineRule="auto"/>
              <w:jc w:val="center"/>
            </w:pPr>
            <w:r/>
            <w:r>
              <w:rPr>
                <w:rFonts w:ascii="Calibri" w:hAnsi="Calibri" w:eastAsia="微软雅黑"/>
                <w:b w:val="0"/>
                <w:color w:val="0B2545"/>
                <w:sz w:val="18"/>
              </w:rPr>
              <w:t>自动测试与报告</w:t>
            </w:r>
          </w:p>
        </w:tc>
        <w:tc>
          <w:tcPr>
            <w:tcW w:type="dxa" w:w="4100"/>
          </w:tcPr>
          <w:p>
            <w:pPr>
              <w:spacing w:after="0" w:line="276" w:lineRule="auto"/>
            </w:pPr>
            <w:r/>
            <w:r>
              <w:rPr>
                <w:rFonts w:ascii="Calibri" w:hAnsi="Calibri" w:eastAsia="微软雅黑"/>
                <w:b w:val="0"/>
                <w:color w:val="0B2545"/>
                <w:sz w:val="18"/>
              </w:rPr>
              <w:t>自动生成测试用例、对比输出、解析日志、生成报告。</w:t>
            </w:r>
          </w:p>
        </w:tc>
        <w:tc>
          <w:tcPr>
            <w:tcW w:type="dxa" w:w="3460"/>
          </w:tcPr>
          <w:p>
            <w:pPr>
              <w:spacing w:after="0" w:line="276" w:lineRule="auto"/>
            </w:pPr>
            <w:r/>
            <w:r>
              <w:rPr>
                <w:rFonts w:ascii="Calibri" w:hAnsi="Calibri" w:eastAsia="微软雅黑"/>
                <w:b w:val="0"/>
                <w:color w:val="0B2545"/>
                <w:sz w:val="18"/>
              </w:rPr>
              <w:t>降低交付成本，提高产品可验收性。</w:t>
            </w:r>
          </w:p>
        </w:tc>
      </w:tr>
    </w:tbl>
    <w:p>
      <w:pPr>
        <w:spacing w:after="80"/>
      </w:pPr>
    </w:p>
    <w:p>
      <w:pPr>
        <w:pStyle w:val="Heading1"/>
      </w:pPr>
      <w:r>
        <w:rPr>
          <w:rFonts w:ascii="Calibri" w:hAnsi="Calibri" w:eastAsia="微软雅黑"/>
          <w:b/>
          <w:color w:val="2E74B5"/>
          <w:sz w:val="32"/>
        </w:rPr>
        <w:t>十二、风险与应对</w:t>
      </w:r>
    </w:p>
    <w:tbl>
      <w:tblPr>
        <w:tblStyle w:val="TableGrid"/>
        <w:tblW w:type="dxa" w:w="9360"/>
        <w:jc w:val="left"/>
        <w:tblLayout w:type="fixed"/>
        <w:tblLook w:firstColumn="1" w:firstRow="1" w:lastColumn="0" w:lastRow="0" w:noHBand="0" w:noVBand="1" w:val="04A0"/>
        <w:tblInd w:w="120" w:type="dxa"/>
      </w:tblPr>
      <w:tblGrid>
        <w:gridCol w:w="1600"/>
        <w:gridCol w:w="3800"/>
        <w:gridCol w:w="3960"/>
      </w:tblGrid>
      <w:tr>
        <w:tc>
          <w:tcPr>
            <w:tcW w:type="dxa" w:w="16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风险</w:t>
            </w:r>
          </w:p>
        </w:tc>
        <w:tc>
          <w:tcPr>
            <w:tcW w:type="dxa" w:w="380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表现</w:t>
            </w:r>
          </w:p>
        </w:tc>
        <w:tc>
          <w:tcPr>
            <w:tcW w:type="dxa" w:w="3960"/>
            <w:vAlign w:val="center"/>
            <w:tcMar>
              <w:top w:w="80" w:type="dxa"/>
              <w:start w:w="120" w:type="dxa"/>
              <w:bottom w:w="80" w:type="dxa"/>
              <w:end w:w="120" w:type="dxa"/>
            </w:tcMar>
            <w:shd w:fill="F4F6F9"/>
          </w:tcPr>
          <w:p>
            <w:pPr>
              <w:spacing w:after="0" w:line="276" w:lineRule="auto"/>
              <w:jc w:val="center"/>
            </w:pPr>
            <w:r/>
            <w:r>
              <w:rPr>
                <w:rFonts w:ascii="Calibri" w:hAnsi="Calibri" w:eastAsia="微软雅黑"/>
                <w:b/>
                <w:color w:val="1F4D78"/>
                <w:sz w:val="19"/>
              </w:rPr>
              <w:t>应对措施</w:t>
            </w:r>
          </w:p>
        </w:tc>
      </w:tr>
      <w:tr>
        <w:tc>
          <w:tcPr>
            <w:tcW w:type="dxa" w:w="1600"/>
          </w:tcPr>
          <w:p>
            <w:pPr>
              <w:spacing w:after="0" w:line="276" w:lineRule="auto"/>
              <w:jc w:val="center"/>
            </w:pPr>
            <w:r/>
            <w:r>
              <w:rPr>
                <w:rFonts w:ascii="Calibri" w:hAnsi="Calibri" w:eastAsia="微软雅黑"/>
                <w:b w:val="0"/>
                <w:color w:val="0B2545"/>
                <w:sz w:val="17"/>
              </w:rPr>
              <w:t>性能风险</w:t>
            </w:r>
          </w:p>
        </w:tc>
        <w:tc>
          <w:tcPr>
            <w:tcW w:type="dxa" w:w="3800"/>
          </w:tcPr>
          <w:p>
            <w:pPr>
              <w:spacing w:after="0" w:line="276" w:lineRule="auto"/>
            </w:pPr>
            <w:r/>
            <w:r>
              <w:rPr>
                <w:rFonts w:ascii="Calibri" w:hAnsi="Calibri" w:eastAsia="微软雅黑"/>
                <w:b w:val="0"/>
                <w:color w:val="0B2545"/>
                <w:sz w:val="17"/>
              </w:rPr>
              <w:t>ARM 端 GPU 性能不足，复杂场景实时帧率不达标。</w:t>
            </w:r>
          </w:p>
        </w:tc>
        <w:tc>
          <w:tcPr>
            <w:tcW w:type="dxa" w:w="3960"/>
          </w:tcPr>
          <w:p>
            <w:pPr>
              <w:spacing w:after="0" w:line="276" w:lineRule="auto"/>
            </w:pPr>
            <w:r/>
            <w:r>
              <w:rPr>
                <w:rFonts w:ascii="Calibri" w:hAnsi="Calibri" w:eastAsia="微软雅黑"/>
                <w:b w:val="0"/>
                <w:color w:val="0B2545"/>
                <w:sz w:val="17"/>
              </w:rPr>
              <w:t>分层渲染、LOD、GPU 并行、分辨率策略、FPGA 协同接口预留。</w:t>
            </w:r>
          </w:p>
        </w:tc>
      </w:tr>
      <w:tr>
        <w:tc>
          <w:tcPr>
            <w:tcW w:type="dxa" w:w="1600"/>
          </w:tcPr>
          <w:p>
            <w:pPr>
              <w:spacing w:after="0" w:line="276" w:lineRule="auto"/>
              <w:jc w:val="center"/>
            </w:pPr>
            <w:r/>
            <w:r>
              <w:rPr>
                <w:rFonts w:ascii="Calibri" w:hAnsi="Calibri" w:eastAsia="微软雅黑"/>
                <w:b w:val="0"/>
                <w:color w:val="0B2545"/>
                <w:sz w:val="17"/>
              </w:rPr>
              <w:t>精度风险</w:t>
            </w:r>
          </w:p>
        </w:tc>
        <w:tc>
          <w:tcPr>
            <w:tcW w:type="dxa" w:w="3800"/>
          </w:tcPr>
          <w:p>
            <w:pPr>
              <w:spacing w:after="0" w:line="276" w:lineRule="auto"/>
            </w:pPr>
            <w:r/>
            <w:r>
              <w:rPr>
                <w:rFonts w:ascii="Calibri" w:hAnsi="Calibri" w:eastAsia="微软雅黑"/>
                <w:b w:val="0"/>
                <w:color w:val="0B2545"/>
                <w:sz w:val="17"/>
              </w:rPr>
              <w:t>红外仿真效果缺少实测数据校准，客户难以认可。</w:t>
            </w:r>
          </w:p>
        </w:tc>
        <w:tc>
          <w:tcPr>
            <w:tcW w:type="dxa" w:w="3960"/>
          </w:tcPr>
          <w:p>
            <w:pPr>
              <w:spacing w:after="0" w:line="276" w:lineRule="auto"/>
            </w:pPr>
            <w:r/>
            <w:r>
              <w:rPr>
                <w:rFonts w:ascii="Calibri" w:hAnsi="Calibri" w:eastAsia="微软雅黑"/>
                <w:b w:val="0"/>
                <w:color w:val="0B2545"/>
                <w:sz w:val="17"/>
              </w:rPr>
              <w:t>建立材料/目标/大气参数库，联合试验单位形成仿真-实测对照数据。</w:t>
            </w:r>
          </w:p>
        </w:tc>
      </w:tr>
      <w:tr>
        <w:tc>
          <w:tcPr>
            <w:tcW w:type="dxa" w:w="1600"/>
          </w:tcPr>
          <w:p>
            <w:pPr>
              <w:spacing w:after="0" w:line="276" w:lineRule="auto"/>
              <w:jc w:val="center"/>
            </w:pPr>
            <w:r/>
            <w:r>
              <w:rPr>
                <w:rFonts w:ascii="Calibri" w:hAnsi="Calibri" w:eastAsia="微软雅黑"/>
                <w:b w:val="0"/>
                <w:color w:val="0B2545"/>
                <w:sz w:val="17"/>
              </w:rPr>
              <w:t>需求风险</w:t>
            </w:r>
          </w:p>
        </w:tc>
        <w:tc>
          <w:tcPr>
            <w:tcW w:type="dxa" w:w="3800"/>
          </w:tcPr>
          <w:p>
            <w:pPr>
              <w:spacing w:after="0" w:line="276" w:lineRule="auto"/>
            </w:pPr>
            <w:r/>
            <w:r>
              <w:rPr>
                <w:rFonts w:ascii="Calibri" w:hAnsi="Calibri" w:eastAsia="微软雅黑"/>
                <w:b w:val="0"/>
                <w:color w:val="0B2545"/>
                <w:sz w:val="17"/>
              </w:rPr>
              <w:t>客户把平台产品变成定制项目，导致复用性下降。</w:t>
            </w:r>
          </w:p>
        </w:tc>
        <w:tc>
          <w:tcPr>
            <w:tcW w:type="dxa" w:w="3960"/>
          </w:tcPr>
          <w:p>
            <w:pPr>
              <w:spacing w:after="0" w:line="276" w:lineRule="auto"/>
            </w:pPr>
            <w:r/>
            <w:r>
              <w:rPr>
                <w:rFonts w:ascii="Calibri" w:hAnsi="Calibri" w:eastAsia="微软雅黑"/>
                <w:b w:val="0"/>
                <w:color w:val="0B2545"/>
                <w:sz w:val="17"/>
              </w:rPr>
              <w:t>区分平台标准能力和项目定制能力，建立版本边界和报价边界。</w:t>
            </w:r>
          </w:p>
        </w:tc>
      </w:tr>
      <w:tr>
        <w:tc>
          <w:tcPr>
            <w:tcW w:type="dxa" w:w="1600"/>
          </w:tcPr>
          <w:p>
            <w:pPr>
              <w:spacing w:after="0" w:line="276" w:lineRule="auto"/>
              <w:jc w:val="center"/>
            </w:pPr>
            <w:r/>
            <w:r>
              <w:rPr>
                <w:rFonts w:ascii="Calibri" w:hAnsi="Calibri" w:eastAsia="微软雅黑"/>
                <w:b w:val="0"/>
                <w:color w:val="0B2545"/>
                <w:sz w:val="17"/>
              </w:rPr>
              <w:t>集成风险</w:t>
            </w:r>
          </w:p>
        </w:tc>
        <w:tc>
          <w:tcPr>
            <w:tcW w:type="dxa" w:w="3800"/>
          </w:tcPr>
          <w:p>
            <w:pPr>
              <w:spacing w:after="0" w:line="276" w:lineRule="auto"/>
            </w:pPr>
            <w:r/>
            <w:r>
              <w:rPr>
                <w:rFonts w:ascii="Calibri" w:hAnsi="Calibri" w:eastAsia="微软雅黑"/>
                <w:b w:val="0"/>
                <w:color w:val="0B2545"/>
                <w:sz w:val="17"/>
              </w:rPr>
              <w:t>AFSIM、VR、UE5、雷达成像等协同节奏不一致。</w:t>
            </w:r>
          </w:p>
        </w:tc>
        <w:tc>
          <w:tcPr>
            <w:tcW w:type="dxa" w:w="3960"/>
          </w:tcPr>
          <w:p>
            <w:pPr>
              <w:spacing w:after="0" w:line="276" w:lineRule="auto"/>
            </w:pPr>
            <w:r/>
            <w:r>
              <w:rPr>
                <w:rFonts w:ascii="Calibri" w:hAnsi="Calibri" w:eastAsia="微软雅黑"/>
                <w:b w:val="0"/>
                <w:color w:val="0B2545"/>
                <w:sz w:val="17"/>
              </w:rPr>
              <w:t>先松耦合接口，再逐步统一坐标、时间、事件和场景资产。</w:t>
            </w:r>
          </w:p>
        </w:tc>
      </w:tr>
      <w:tr>
        <w:tc>
          <w:tcPr>
            <w:tcW w:type="dxa" w:w="1600"/>
          </w:tcPr>
          <w:p>
            <w:pPr>
              <w:spacing w:after="0" w:line="276" w:lineRule="auto"/>
              <w:jc w:val="center"/>
            </w:pPr>
            <w:r/>
            <w:r>
              <w:rPr>
                <w:rFonts w:ascii="Calibri" w:hAnsi="Calibri" w:eastAsia="微软雅黑"/>
                <w:b w:val="0"/>
                <w:color w:val="0B2545"/>
                <w:sz w:val="17"/>
              </w:rPr>
              <w:t>合规风险</w:t>
            </w:r>
          </w:p>
        </w:tc>
        <w:tc>
          <w:tcPr>
            <w:tcW w:type="dxa" w:w="3800"/>
          </w:tcPr>
          <w:p>
            <w:pPr>
              <w:spacing w:after="0" w:line="276" w:lineRule="auto"/>
            </w:pPr>
            <w:r/>
            <w:r>
              <w:rPr>
                <w:rFonts w:ascii="Calibri" w:hAnsi="Calibri" w:eastAsia="微软雅黑"/>
                <w:b w:val="0"/>
                <w:color w:val="0B2545"/>
                <w:sz w:val="17"/>
              </w:rPr>
              <w:t>开源协议、军工保密、知识产权和国产化适配要求复杂。</w:t>
            </w:r>
          </w:p>
        </w:tc>
        <w:tc>
          <w:tcPr>
            <w:tcW w:type="dxa" w:w="3960"/>
          </w:tcPr>
          <w:p>
            <w:pPr>
              <w:spacing w:after="0" w:line="276" w:lineRule="auto"/>
            </w:pPr>
            <w:r/>
            <w:r>
              <w:rPr>
                <w:rFonts w:ascii="Calibri" w:hAnsi="Calibri" w:eastAsia="微软雅黑"/>
                <w:b w:val="0"/>
                <w:color w:val="0B2545"/>
                <w:sz w:val="17"/>
              </w:rPr>
              <w:t>建立开源合规清单、交付环境清单、软著/专利/技术秘密布局。</w:t>
            </w:r>
          </w:p>
        </w:tc>
      </w:tr>
    </w:tbl>
    <w:p>
      <w:pPr>
        <w:spacing w:after="80"/>
      </w:pPr>
    </w:p>
    <w:p>
      <w:pPr>
        <w:pStyle w:val="Heading1"/>
      </w:pPr>
      <w:r>
        <w:rPr>
          <w:rFonts w:ascii="Calibri" w:hAnsi="Calibri" w:eastAsia="微软雅黑"/>
          <w:b/>
          <w:color w:val="2E74B5"/>
          <w:sz w:val="32"/>
        </w:rPr>
        <w:t>十三、近期行动建议</w:t>
      </w:r>
    </w:p>
    <w:p>
      <w:pPr>
        <w:spacing w:before="0" w:after="160" w:line="320" w:lineRule="auto"/>
        <w:jc w:val="both"/>
      </w:pPr>
      <w:r>
        <w:rPr>
          <w:rFonts w:ascii="Calibri" w:hAnsi="Calibri" w:eastAsia="微软雅黑"/>
          <w:b w:val="0"/>
          <w:color w:val="0B2545"/>
          <w:sz w:val="22"/>
        </w:rPr>
        <w:t>近期建议不急于把所有方向同时展开，而是先完成四件事。第一，明确 V1.0 必做和不做清单，避免把 UE5、雷达、AI 和全链路辐亮度能力全部压进首版。第二，锁定 2-3 家试点客户，优先选择军工或低空场景中需求清晰、能提供验收反馈的客户。第三，建立跨部门资源池，把 AFSIM、VR、UE5、雷达成像、硬件平台和售前资源纳入路线图。第四，启动模型库、校准数据和 AI 数据生成预研，为后续产品壁垒做准备。</w:t>
      </w:r>
    </w:p>
    <w:p>
      <w:pPr>
        <w:pStyle w:val="ListBullet"/>
        <w:spacing w:after="80" w:line="290" w:lineRule="auto"/>
      </w:pPr>
      <w:r>
        <w:rPr>
          <w:rFonts w:ascii="Calibri" w:hAnsi="Calibri" w:eastAsia="微软雅黑"/>
          <w:color w:val="0B2545"/>
          <w:sz w:val="21"/>
        </w:rPr>
        <w:t>V1.0 边界：红外内核、GUI 基础配置、SDK/API、ARM 适配、基础模型库、日志和报告。</w:t>
      </w:r>
    </w:p>
    <w:p>
      <w:pPr>
        <w:pStyle w:val="ListBullet"/>
        <w:spacing w:after="80" w:line="290" w:lineRule="auto"/>
      </w:pPr>
      <w:r>
        <w:rPr>
          <w:rFonts w:ascii="Calibri" w:hAnsi="Calibri" w:eastAsia="微软雅黑"/>
          <w:color w:val="0B2545"/>
          <w:sz w:val="21"/>
        </w:rPr>
        <w:t>试点场景：军工半实物测试优先，其次选择低空无人机红外感知或商业航天载荷验证场景。</w:t>
      </w:r>
    </w:p>
    <w:p>
      <w:pPr>
        <w:pStyle w:val="ListBullet"/>
        <w:spacing w:after="80" w:line="290" w:lineRule="auto"/>
      </w:pPr>
      <w:r>
        <w:rPr>
          <w:rFonts w:ascii="Calibri" w:hAnsi="Calibri" w:eastAsia="微软雅黑"/>
          <w:color w:val="0B2545"/>
          <w:sz w:val="21"/>
        </w:rPr>
        <w:t>协同机制：建立仿真软件部牵头、售前/硬件/AFSIM/VR/UE5/雷达团队参与的月度评审机制。</w:t>
      </w:r>
    </w:p>
    <w:p>
      <w:pPr>
        <w:pStyle w:val="ListBullet"/>
        <w:spacing w:after="80" w:line="290" w:lineRule="auto"/>
      </w:pPr>
      <w:r>
        <w:rPr>
          <w:rFonts w:ascii="Calibri" w:hAnsi="Calibri" w:eastAsia="微软雅黑"/>
          <w:color w:val="0B2545"/>
          <w:sz w:val="21"/>
        </w:rPr>
        <w:t>知识产权：围绕国产 ARM 红外仿真适配、热点/亮点建模、协议化目标联动、自动化评估布局软著和专利。</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EAF7F2"/>
          </w:tcPr>
          <w:p>
            <w:pPr>
              <w:spacing w:after="80"/>
            </w:pPr>
            <w:r>
              <w:rPr>
                <w:rFonts w:ascii="Calibri" w:hAnsi="Calibri" w:eastAsia="微软雅黑"/>
                <w:b/>
                <w:color w:val="1F4D78"/>
                <w:sz w:val="23"/>
              </w:rPr>
              <w:t>最终建议</w:t>
            </w:r>
          </w:p>
          <w:p>
            <w:pPr>
              <w:spacing w:after="0" w:line="300" w:lineRule="auto"/>
            </w:pPr>
            <w:r>
              <w:rPr>
                <w:rFonts w:ascii="Calibri" w:hAnsi="Calibri" w:eastAsia="微软雅黑"/>
                <w:color w:val="0B2545"/>
                <w:sz w:val="21"/>
              </w:rPr>
              <w:t>以“国产化三维红外成像仿真产品平台”为主线立项，以军工、低空经济、商业航天解决方案包为首批商业化方向；短期做可交付闭环，中期做行业复制，长期做多模态传感器仿真平台。</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color w:val="5F6B7A"/>
        <w:sz w:val="18"/>
      </w:rPr>
      <w:t>北京华力创通科技股份有限公司 | 内部讨论稿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微软雅黑"/>
        <w:color w:val="5F6B7A"/>
        <w:sz w:val="18"/>
      </w:rPr>
      <w:t>HwaSimIR 红外成像仿真产品规划文字稿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