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FC417">
      <w:pPr>
        <w:spacing w:before="480" w:after="480" w:line="288" w:lineRule="auto"/>
        <w:ind w:left="0" w:leftChars="0" w:firstLine="0" w:firstLineChars="0"/>
        <w:jc w:val="center"/>
        <w:rPr>
          <w:sz w:val="30"/>
          <w:szCs w:val="30"/>
        </w:rPr>
      </w:pPr>
      <w:r>
        <w:rPr>
          <w:rFonts w:ascii="Arial" w:hAnsi="Arial" w:eastAsia="等线" w:cs="Arial"/>
          <w:b/>
          <w:sz w:val="30"/>
          <w:szCs w:val="30"/>
        </w:rPr>
        <w:t>自主创新产品/技术路线征集申报表</w:t>
      </w:r>
    </w:p>
    <w:p w14:paraId="664257E2">
      <w:pPr>
        <w:spacing w:before="120" w:after="120" w:line="288" w:lineRule="auto"/>
        <w:ind w:firstLine="440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：公司全体技术人员、管理人员自主创新研发产品申报、核心技术路线 / 关键技术攻关方向申报</w:t>
      </w:r>
    </w:p>
    <w:p w14:paraId="7E59B453">
      <w:pPr>
        <w:spacing w:before="120" w:after="120" w:line="288" w:lineRule="auto"/>
        <w:ind w:firstLine="440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售前、项目经理三个以上、编程开发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技术</w:t>
      </w:r>
      <w:r>
        <w:rPr>
          <w:rFonts w:hint="eastAsia" w:ascii="Arial" w:hAnsi="Arial" w:eastAsia="等线" w:cs="Arial"/>
          <w:sz w:val="22"/>
        </w:rPr>
        <w:t>人员1-3个、管理与行政人员至少一个。</w:t>
      </w:r>
    </w:p>
    <w:p w14:paraId="44BC632C">
      <w:pPr>
        <w:spacing w:before="120" w:after="120" w:line="288" w:lineRule="auto"/>
        <w:ind w:firstLine="440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4月30日之前上交至少一个，5月7日上班以后交其余。</w:t>
      </w:r>
    </w:p>
    <w:p w14:paraId="1A32556B">
      <w:pPr>
        <w:spacing w:before="120" w:after="120" w:line="288" w:lineRule="auto"/>
        <w:ind w:firstLine="440"/>
      </w:pPr>
      <w:r>
        <w:rPr>
          <w:rFonts w:ascii="Arial" w:hAnsi="Arial" w:eastAsia="等线" w:cs="Arial"/>
          <w:b/>
          <w:sz w:val="22"/>
        </w:rPr>
        <w:t>填写说明</w:t>
      </w:r>
      <w:r>
        <w:rPr>
          <w:rFonts w:ascii="Arial" w:hAnsi="Arial" w:eastAsia="等线" w:cs="Arial"/>
          <w:sz w:val="22"/>
        </w:rPr>
        <w:t>：带 * 为必填项；根据项目类型勾选对应模块，非对应模块可标注 “无”；所有量化指标需明确可考核，创新点需突出自主可控与差异化优势；可附详细可研报告、原型资料、查新报告等附件。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BBAA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3ABF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基础信息栏</w:t>
            </w:r>
          </w:p>
        </w:tc>
        <w:tc>
          <w:tcPr>
            <w:tcW w:w="207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8B7C9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207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F756E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207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8EDE2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26E3AD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7D30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申报编号（公司归档填写）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7897C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2411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申报日期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7465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2026 年 04 月 30 日</w:t>
            </w:r>
          </w:p>
        </w:tc>
      </w:tr>
      <w:tr w14:paraId="764C1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1BAC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项目类型（单选）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F0D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☑</w:t>
            </w:r>
            <w:r>
              <w:rPr>
                <w:b w:val="0"/>
                <w:color w:val="000000"/>
              </w:rPr>
              <w:t xml:space="preserve"> 产品研发类（可落地 / 可上市 / 可内部规模化应用的软硬件产品、解决方案）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□ 技术路线与关键技术攻关类（公司核心技术方向选型、卡脖子技术攻关、前瞻技术预研）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1B95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1F4E0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36A32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A978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项目名称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4D65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基于国产化 ARM 板卡与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开源</w:t>
            </w:r>
            <w:r>
              <w:rPr>
                <w:rFonts w:hint="eastAsia"/>
                <w:b w:val="0"/>
                <w:color w:val="000000"/>
              </w:rPr>
              <w:t>3D 引擎的三维场景红外成像仿真产品 V1.0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074F8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41700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20767B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DF3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项目周期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2ED7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自 2026 年 05 月至 2027 年 04 月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BF06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预期结项时间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3606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2027 年 04 月 30 日</w:t>
            </w:r>
          </w:p>
        </w:tc>
      </w:tr>
      <w:tr w14:paraId="039965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8C6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匹配公司战略方向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DAB6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核心技术自主可控、国产化替代、降本增效、新赛道拓展、数字化转型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63903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D56C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</w:tbl>
    <w:p w14:paraId="2EE913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3EA51CCE">
      <w:pPr>
        <w:spacing w:before="320" w:after="120" w:line="288" w:lineRule="auto"/>
        <w:ind w:firstLine="640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一、* 申报主体基本信息</w:t>
      </w:r>
      <w:bookmarkEnd w:id="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2F28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EEAD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牵头申报人</w:t>
            </w:r>
          </w:p>
        </w:tc>
        <w:tc>
          <w:tcPr>
            <w:tcW w:w="16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347E9">
            <w:pPr>
              <w:pStyle w:val="6"/>
              <w:bidi w:val="0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樊家旭</w:t>
            </w:r>
          </w:p>
        </w:tc>
        <w:tc>
          <w:tcPr>
            <w:tcW w:w="16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ABCB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所属部门</w:t>
            </w:r>
          </w:p>
        </w:tc>
        <w:tc>
          <w:tcPr>
            <w:tcW w:w="16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78BAD">
            <w:pPr>
              <w:pStyle w:val="6"/>
              <w:bidi w:val="0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仿真软件部</w:t>
            </w:r>
          </w:p>
        </w:tc>
        <w:tc>
          <w:tcPr>
            <w:tcW w:w="16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7710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2B462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C89D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职务 / 岗位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04150">
            <w:pPr>
              <w:pStyle w:val="6"/>
              <w:bidi w:val="0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软件开发工程师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8CD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联系电话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66B85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7D5E8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2776B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C4F0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邮箱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F87AB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48EB2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523B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55CF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7C964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13F0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联合申报部门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EABC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BF692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EE6B6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C7FE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184B5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9302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核心团队成员信息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1CDE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476A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9463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B5C94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0E01D9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F558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序号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4FC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姓名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0EF7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部门 / 岗位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06DB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项目核心分工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077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联系电话</w:t>
            </w:r>
          </w:p>
        </w:tc>
      </w:tr>
      <w:tr w14:paraId="2FD645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23A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894E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樊家旭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48C6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软件开发工程师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C01DA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红外成像算法研发</w:t>
            </w:r>
          </w:p>
          <w:p w14:paraId="54EE6EDC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开源</w:t>
            </w:r>
            <w:r>
              <w:rPr>
                <w:rFonts w:hint="eastAsia"/>
                <w:b w:val="0"/>
                <w:color w:val="000000"/>
              </w:rPr>
              <w:t>3D 引擎适配与三维场景开发</w:t>
            </w:r>
          </w:p>
          <w:p w14:paraId="27043DF9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国产化 ARM 板卡软硬件适配、性能优化</w:t>
            </w:r>
          </w:p>
          <w:p w14:paraId="0F88BC6F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产品功能与性能测试、验证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FA9EA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1E78D5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0E65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1420E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D5ED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9978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8F86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787D66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D0E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C1C24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04BF8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F6075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299E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2C816F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B1C0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（可续行）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FE47A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20B8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0B2F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2E9D6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</w:tbl>
    <w:p w14:paraId="7C9DEE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51E53F30">
      <w:pPr>
        <w:spacing w:before="320" w:after="120" w:line="288" w:lineRule="auto"/>
        <w:ind w:firstLine="640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二、* 项目立项背景与必要性</w:t>
      </w:r>
      <w:bookmarkEnd w:id="1"/>
    </w:p>
    <w:tbl>
      <w:tblPr>
        <w:tblStyle w:val="4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2"/>
      </w:tblGrid>
      <w:tr w14:paraId="3F792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5FCF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填写模块</w:t>
            </w:r>
          </w:p>
        </w:tc>
        <w:tc>
          <w:tcPr>
            <w:tcW w:w="2500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521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详细内容（可附页）</w:t>
            </w:r>
          </w:p>
        </w:tc>
      </w:tr>
      <w:tr w14:paraId="32995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4C2C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行业 / 市场现状与痛点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36307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行业趋势：红外成像仿真在军工测试、安防仿真、科研教学、工业检测领域需求激增，全链路物理仿真成为主流方向；</w:t>
            </w:r>
          </w:p>
          <w:p w14:paraId="37A23164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市场缺口：国内红外仿真高度依赖 Vega 等国外商用软件与 X86 架构硬件，存在禁运风险、采购成本高、无法定制、国产化不兼容等问题；</w:t>
            </w:r>
          </w:p>
          <w:p w14:paraId="760D31C8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竞品短板：国外软件不支持国产 ARM 板卡，国内同类产品多为 X86 平台、无开源引擎轻量化适配、实时性差；</w:t>
            </w:r>
          </w:p>
          <w:p w14:paraId="11422BD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4. 技术瓶颈：缺乏国产化硬件 + 开源引擎的红外全链路仿真方案，ARM 端 GPU 并行加速红外辐射计算技术空白。</w:t>
            </w:r>
          </w:p>
        </w:tc>
      </w:tr>
      <w:tr w14:paraId="62B6B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6BA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公司内部需求与痛点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6EE7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现有业务：红外设备测试依赖实地靶场，耗时久、成本高、场景不可复现；</w:t>
            </w:r>
          </w:p>
          <w:p w14:paraId="24C53812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降本增效：替代国外仿真软件，每年可节省 licensing 费用≥50 万元；</w:t>
            </w:r>
          </w:p>
          <w:p w14:paraId="02130172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技术卡脖子：无自主可控的国产化红外仿真平台，无法适配公司信创 / 国产化硬件战略；</w:t>
            </w:r>
          </w:p>
          <w:p w14:paraId="1885DE8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4. 效率瓶颈：现有仿真流程无法在嵌入式 / 便携式终端部署，场景生成效率低。</w:t>
            </w:r>
          </w:p>
        </w:tc>
      </w:tr>
      <w:tr w14:paraId="0EEF4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22A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立项核心价值与紧迫性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E888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核心价值：构建全国产化、轻量化、可嵌入式部署的三维红外成像仿真产品，突破国外技术垄断，实现自主可控；支撑军工 / 安防 / 工业红外设备快速测试、训练、评估，提升公司技术壁垒；</w:t>
            </w:r>
          </w:p>
          <w:p w14:paraId="13F73D1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紧迫性：国家信创政策强制要求国产化替代，下游客户明确需求国产化仿真方案，市场窗口期紧迫，需快速落地产品抢占赛道。</w:t>
            </w:r>
          </w:p>
        </w:tc>
      </w:tr>
    </w:tbl>
    <w:p w14:paraId="0B8DEB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5E951BE2">
      <w:pPr>
        <w:spacing w:before="320" w:after="120" w:line="288" w:lineRule="auto"/>
        <w:ind w:firstLine="640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三、前期预研与现有基础</w:t>
      </w:r>
      <w:bookmarkEnd w:id="2"/>
    </w:p>
    <w:tbl>
      <w:tblPr>
        <w:tblStyle w:val="4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2"/>
      </w:tblGrid>
      <w:tr w14:paraId="5CACB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A73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填写模块</w:t>
            </w:r>
          </w:p>
        </w:tc>
        <w:tc>
          <w:tcPr>
            <w:tcW w:w="2500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B857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详细内容（可附页）</w:t>
            </w:r>
          </w:p>
        </w:tc>
      </w:tr>
      <w:tr w14:paraId="5B298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12DB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前期调研与预研进展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C503E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市场调研：完成军工、安防、科研三类客户需求调研，确认国产化 ARM 端红外仿真刚性需求；</w:t>
            </w:r>
          </w:p>
          <w:p w14:paraId="4CBCDCF9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技术查新：完成红外成像全链路模型、Panda3D 引擎 ARM 适配、国产 RK3588J 板卡 GPU 加速技术查新，确认技术可行性；</w:t>
            </w:r>
          </w:p>
          <w:p w14:paraId="547DC939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原型验证：完成 Panda3D 引擎在 RK3588J 国产化 ARM 板卡的移植运行，实现基础三维场景加载与红外渲染 demo；</w:t>
            </w:r>
          </w:p>
          <w:p w14:paraId="3EC3087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4. 算法验证：复现论文中红外辐射传输、温度场计算、多波段仿真核心算法，验证精度符合行业标准。</w:t>
            </w:r>
          </w:p>
        </w:tc>
      </w:tr>
      <w:tr w14:paraId="37A5DC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885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现有技术 / 资源积累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D5E7C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技术储备：团队掌握红外成像链路数学建模、三维场景构建、GPU 并行计算、国产化 ARM 适配核心技术；</w:t>
            </w:r>
          </w:p>
          <w:p w14:paraId="7450CD14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过往成果：拥有图形学、嵌入式开发、红外算法相关软著 / 专利储备；</w:t>
            </w:r>
          </w:p>
          <w:p w14:paraId="1DFAC00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资源：国产化 RK3588J 开发板、Panda3D 开源引擎、三维模型素材库、测试环境齐全。</w:t>
            </w:r>
          </w:p>
        </w:tc>
      </w:tr>
      <w:tr w14:paraId="6EE3C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6914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已取得的验证成果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FA904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原型 demo：国产化 ARM 板卡端 Panda3D 引擎稳定运行，支持基础三维场景导入；</w:t>
            </w:r>
          </w:p>
          <w:p w14:paraId="4F16514E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算法验证：红外温度反演误差≤±2℃，符合实测趋势；</w:t>
            </w:r>
          </w:p>
          <w:p w14:paraId="1A40AEE3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适配验证：ARM 端 GPU 并行加速辐射计算，较 CPU 串行提升≥8 倍性能；</w:t>
            </w:r>
          </w:p>
          <w:p w14:paraId="09CF405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4. 环境验证：支持短波 / 中波 / 长波三波段红外仿真，场景逼真度达标。</w:t>
            </w:r>
          </w:p>
        </w:tc>
      </w:tr>
    </w:tbl>
    <w:p w14:paraId="34862F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1AEAF6DE">
      <w:pPr>
        <w:spacing w:before="320" w:after="120" w:line="288" w:lineRule="auto"/>
        <w:ind w:firstLine="640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四、* 项目核心方案（按项目类型填写）</w:t>
      </w:r>
      <w:bookmarkEnd w:id="3"/>
    </w:p>
    <w:p w14:paraId="430D57D9">
      <w:pPr>
        <w:spacing w:before="300" w:after="120" w:line="288" w:lineRule="auto"/>
        <w:ind w:firstLine="600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▶ 产品研发类专项填写</w:t>
      </w:r>
      <w:bookmarkEnd w:id="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4"/>
        <w:gridCol w:w="7481"/>
      </w:tblGrid>
      <w:tr w14:paraId="58F41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F85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填写模块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64F7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详细内容（可附页）</w:t>
            </w:r>
          </w:p>
        </w:tc>
      </w:tr>
      <w:tr w14:paraId="5B97B4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1D85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产品定位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337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核心赛道：国产化嵌入式红外成像仿真；核心价值：全国产化、轻量化、可嵌入式部署、低成本替代国外仿真产品；差异化定位：国内首款基于国产化 ARM 板卡 + Panda3D 开源引擎的三维红外全链路仿真产品；属性：ToB（军工 / 安防 / 科研）+ 内部规模化应用。</w:t>
            </w:r>
          </w:p>
        </w:tc>
      </w:tr>
      <w:tr w14:paraId="7AE3C1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A74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核心功能与性能指标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232E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核心功能：三维场景导入、多波段红外仿真、温度场计算、大气效应模拟、实时渲染、导出图像序列；</w:t>
            </w:r>
          </w:p>
          <w:p w14:paraId="15A58FF8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性能指标：</w:t>
            </w:r>
          </w:p>
          <w:p w14:paraId="5FFB3F7D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・支持波段：短波 (1.1~2.5μm)/ 中波 (3~5μm)/ 长波 (8~14μm) 全波段覆盖；</w:t>
            </w:r>
          </w:p>
          <w:p w14:paraId="0BAB337B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・渲染帧率：ARM 端≥25FPS（10 万面片场景）；</w:t>
            </w:r>
          </w:p>
          <w:p w14:paraId="7253EA03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・温度反演误差：≤±2℃；</w:t>
            </w:r>
          </w:p>
          <w:p w14:paraId="6B8928A6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・场景加载时间：≤3s；</w:t>
            </w:r>
          </w:p>
          <w:p w14:paraId="221843B4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・国产化率：硬件 100%、软件 100% 自主可控；</w:t>
            </w:r>
          </w:p>
          <w:p w14:paraId="5B9193E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・部署形态：支持国产化 ARM 板卡嵌入式部署、便携式终端运行。</w:t>
            </w:r>
          </w:p>
        </w:tc>
      </w:tr>
      <w:tr w14:paraId="611AB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8FD1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目标应用场景 / 用户群体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A12F3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核心场景：红外设备实验室测试、半实物仿真、教学实训、野外便携式仿真、安防监控模拟；</w:t>
            </w:r>
          </w:p>
          <w:p w14:paraId="61BF9F35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用户群体：军工研究所、红外设备厂商、高校科研团队、安防企业、公司内部测试部门；</w:t>
            </w:r>
          </w:p>
          <w:p w14:paraId="5292B44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需求匹配：高频次、多场景、低成本、国产化合规的红外仿真需求。</w:t>
            </w:r>
          </w:p>
        </w:tc>
      </w:tr>
      <w:tr w14:paraId="35EBA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1C1B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竞品对标分析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35BB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国外竞品（Vega Prime）：优势是功能全，劣势是价格昂贵、禁运、不支持国产 ARM、闭源无法定制；</w:t>
            </w:r>
          </w:p>
          <w:p w14:paraId="7AA7B111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国内竞品：优势是本土化，劣势是仅支持 X86、无开源引擎轻量化、实时性差、国产化适配不足；</w:t>
            </w:r>
          </w:p>
          <w:p w14:paraId="3660AD7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本产品壁垒：全国产化、ARM 嵌入式部署、Panda3D 轻量化开源、GPU 并行加速、自主可控、成本仅为国外产品 1/10。</w:t>
            </w:r>
          </w:p>
        </w:tc>
      </w:tr>
      <w:tr w14:paraId="21329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F2D9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核心自主创新点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ADC7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国产化 ARM 板卡全链路红外仿真适配技术：首次实现 RK3588J 等国产 ARM 平台红外成像全链路物理仿真，硬件 100% 国产化；</w:t>
            </w:r>
          </w:p>
          <w:p w14:paraId="41B3ED9A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Panda3D 引擎红外成像链路模型集成技术：将论文中红外辐射传输、温度场、大气计算模型深度集成至 Panda3D，开源可控无版权风险；</w:t>
            </w:r>
          </w:p>
          <w:p w14:paraId="6BC5E01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ARM 端 GPU 并行加速红外辐射计算技术：基于 CUDA/ARM GPU 实现辐射场并行计算，较 CPU 提升≥10 倍效率，满足实时仿真需求。</w:t>
            </w:r>
          </w:p>
        </w:tc>
      </w:tr>
    </w:tbl>
    <w:p w14:paraId="2CB4D1FD">
      <w:pPr>
        <w:spacing w:before="300" w:after="120" w:line="288" w:lineRule="auto"/>
        <w:ind w:firstLine="600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▶ 技术路线与关键技术攻关类专项填写</w:t>
      </w:r>
      <w:bookmarkEnd w:id="5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6"/>
        <w:gridCol w:w="6829"/>
      </w:tblGrid>
      <w:tr w14:paraId="49E2D3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A46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填写模块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73CC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详细内容（可附页）</w:t>
            </w:r>
          </w:p>
        </w:tc>
      </w:tr>
      <w:tr w14:paraId="522B77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EFDE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现有技术瓶颈与行业差距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F0B9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（公司现有技术短板、行业技术壁垒、卡脖子环节、与国内外领先水平的差距）</w:t>
            </w:r>
          </w:p>
        </w:tc>
      </w:tr>
      <w:tr w14:paraId="6363D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718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核心技术路线选型与论证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78D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（拟选定的主技术路线、备选技术路线，路线选型的技术原理、先进性、成熟度、可持续性论证，与备选路线的优劣势对比）</w:t>
            </w:r>
          </w:p>
        </w:tc>
      </w:tr>
      <w:tr w14:paraId="30DFF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D7F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关键技术攻关核心内容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AB9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（需突破的核心技术点、攻关优先级、技术实现路径、技术难点拆解）</w:t>
            </w:r>
          </w:p>
        </w:tc>
      </w:tr>
      <w:tr w14:paraId="181BD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3AE4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技术成熟度与可行性分析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29AD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（技术成熟度等级、产业链配套情况、研发落地可行性、技术迭代与升级空间）</w:t>
            </w:r>
          </w:p>
        </w:tc>
      </w:tr>
      <w:tr w14:paraId="2AC258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7ABA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核心自主创新点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11F8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1.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2.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3.</w:t>
            </w:r>
            <w:r>
              <w:rPr>
                <w:b w:val="0"/>
                <w:color w:val="000000"/>
              </w:rPr>
              <w:br w:type="textWrapping"/>
            </w:r>
            <w:r>
              <w:rPr>
                <w:b w:val="0"/>
                <w:color w:val="000000"/>
              </w:rPr>
              <w:t>（需明确技术原创性、自主可控性、专利布局空间、行业技术壁垒构建价值）</w:t>
            </w:r>
          </w:p>
        </w:tc>
      </w:tr>
    </w:tbl>
    <w:p w14:paraId="7CD683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7ECFE75C">
      <w:pPr>
        <w:spacing w:before="320" w:after="120" w:line="288" w:lineRule="auto"/>
        <w:ind w:firstLine="640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七、资源需求</w:t>
      </w:r>
      <w:bookmarkEnd w:id="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6685"/>
      </w:tblGrid>
      <w:tr w14:paraId="61B55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BC31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资源类型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7F6D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详细需求说明</w:t>
            </w:r>
          </w:p>
        </w:tc>
      </w:tr>
      <w:tr w14:paraId="32101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39D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人力资源需求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1838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（需新增 / 跨部门协调的岗位、人数、专业能力要求、投入周期）</w:t>
            </w:r>
          </w:p>
        </w:tc>
      </w:tr>
      <w:tr w14:paraId="74579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89A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经费预算需求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4BCB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（总预算金额、分年度 / 分阶段预算，明细含研发费用、物料费、测试费、外协费、知识产权费等）</w:t>
            </w:r>
          </w:p>
        </w:tc>
      </w:tr>
      <w:tr w14:paraId="66F73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AE8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设备 / 场地 / 软硬件资源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5AB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（需配套的研发设备、测试环境、办公场地、系统软件、数据资源等）</w:t>
            </w:r>
          </w:p>
        </w:tc>
      </w:tr>
      <w:tr w14:paraId="67B46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BDDC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跨部门协同需求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8A16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（需公司哪些部门配合、配合事项、配合时间节点）</w:t>
            </w:r>
          </w:p>
        </w:tc>
      </w:tr>
      <w:tr w14:paraId="4DF23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5113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其他资源需求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1D76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（外部合作、渠道资源、政策申报等其他需求）</w:t>
            </w:r>
          </w:p>
        </w:tc>
      </w:tr>
    </w:tbl>
    <w:p w14:paraId="60C5B7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1C193BAA">
      <w:pPr>
        <w:spacing w:before="320" w:after="120" w:line="288" w:lineRule="auto"/>
        <w:ind w:firstLine="640"/>
        <w:outlineLvl w:val="1"/>
      </w:pPr>
      <w:bookmarkStart w:id="7" w:name="heading_9"/>
      <w:r>
        <w:rPr>
          <w:rFonts w:ascii="Arial" w:hAnsi="Arial" w:eastAsia="等线" w:cs="Arial"/>
          <w:b/>
          <w:sz w:val="32"/>
        </w:rPr>
        <w:t>八、风险评估与应对措施</w:t>
      </w:r>
      <w:bookmarkEnd w:id="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1404"/>
        <w:gridCol w:w="3282"/>
        <w:gridCol w:w="2132"/>
        <w:gridCol w:w="678"/>
      </w:tblGrid>
      <w:tr w14:paraId="6F527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B56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风险类型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6500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风险等级（高 / 中 / 低）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87F3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风险详细描述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66CE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应对与规避措施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CABA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* 责任人</w:t>
            </w:r>
          </w:p>
        </w:tc>
      </w:tr>
      <w:tr w14:paraId="5827A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D3E0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技术风险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07892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E221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ARM 端 GPU 性能优化不足，实时帧率不达标；红外仿真精度不符合行业要求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24959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分层渲染、LOD 优化提升帧率；</w:t>
            </w:r>
          </w:p>
          <w:p w14:paraId="1808DA51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迭代优化辐射计算算法，对标实测数据校准；</w:t>
            </w:r>
          </w:p>
          <w:p w14:paraId="554F079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预留 FPGA 协同加速接口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75B6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7DDC6B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AD22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市场 / 需求风险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DC737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4BA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客户对国产化方案接受度低，需求变更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89DE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提前对接 2-3 家试点客户，按需迭代；</w:t>
            </w:r>
          </w:p>
          <w:p w14:paraId="1CE3ABE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产品模块化设计，快速适配需求变更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5D8A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2F81F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3852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资金 / 资源风险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6E77A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B1EC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预算超支、硬件资源不足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30C30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分阶段投入预算，严控支出；</w:t>
            </w:r>
          </w:p>
          <w:p w14:paraId="5898315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批量采购国产化硬件，降低成本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91B1C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58487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3E04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管理 / 进度风险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59B6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E8B5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引擎适配、算法迭代延期，无法按期结项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1B93D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拆解里程碑，按月考核进度；</w:t>
            </w:r>
          </w:p>
          <w:p w14:paraId="2065260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核心技术预研前置，降低延期风险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FEF9E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3CA60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252E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合规 / 知识产权风险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9D0D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C9E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Panda3D 开源协议合规风险、技术侵权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BF34A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严格遵循 BSD 开源协议，商用合规；</w:t>
            </w:r>
          </w:p>
          <w:p w14:paraId="04D25B2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申请软著 / 专利，构建自主知识产权壁垒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03FF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  <w:tr w14:paraId="73388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5BB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其他风险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A5EA">
            <w:pPr>
              <w:pStyle w:val="6"/>
              <w:bidi w:val="0"/>
              <w:rPr>
                <w:b w:val="0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8CB3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场景素材不足、实测数据缺失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7AB3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搭建标准化素材库；</w:t>
            </w:r>
          </w:p>
          <w:p w14:paraId="2658C23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联合实测单位获取校准数据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F8B87">
            <w:pPr>
              <w:pStyle w:val="6"/>
              <w:bidi w:val="0"/>
              <w:rPr>
                <w:b w:val="0"/>
                <w:color w:val="000000"/>
              </w:rPr>
            </w:pPr>
          </w:p>
        </w:tc>
      </w:tr>
    </w:tbl>
    <w:p w14:paraId="59D955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p w14:paraId="01C2D3C0">
      <w:pPr>
        <w:spacing w:before="320" w:after="120" w:line="288" w:lineRule="auto"/>
        <w:ind w:firstLine="640"/>
        <w:outlineLvl w:val="1"/>
      </w:pPr>
      <w:bookmarkStart w:id="8" w:name="heading_10"/>
      <w:r>
        <w:rPr>
          <w:rFonts w:ascii="Arial" w:hAnsi="Arial" w:eastAsia="等线" w:cs="Arial"/>
          <w:b/>
          <w:sz w:val="32"/>
        </w:rPr>
        <w:t>九、* 预期价值与效益分析</w:t>
      </w:r>
      <w:bookmarkEnd w:id="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9"/>
        <w:gridCol w:w="6746"/>
      </w:tblGrid>
      <w:tr w14:paraId="55FA3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20E0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效益类型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0A22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详细内容（需量化可考核）</w:t>
            </w:r>
          </w:p>
        </w:tc>
      </w:tr>
      <w:tr w14:paraId="691D0E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583C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经济效益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8B44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1 年内：内部替代国外仿真软件，节省成本≥50 万元 / 年；</w:t>
            </w:r>
          </w:p>
          <w:p w14:paraId="68360F85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2-3 年：对外销售≥20 套，营收≥200 万元，利润≥80 万元；</w:t>
            </w:r>
          </w:p>
          <w:p w14:paraId="3734B593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成本降低：嵌入式部署替代靶场测试，单项目测试成本降低≥70%；</w:t>
            </w:r>
          </w:p>
          <w:p w14:paraId="434C81D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4. 投资回报周期：≤18 个月。</w:t>
            </w:r>
          </w:p>
        </w:tc>
      </w:tr>
      <w:tr w14:paraId="03FC9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C0E8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内部管理 / 运营效益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2A60B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效率提升：红外设备测试周期从周级缩短至天级，效率提升≥80%；</w:t>
            </w:r>
          </w:p>
          <w:p w14:paraId="09A8BC53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流程优化：构建标准化仿真测试流程，减少人工干预；</w:t>
            </w:r>
          </w:p>
          <w:p w14:paraId="21563A0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成本节约：无需实地靶场试验，人力 / 物力 / 时间成本大幅下降。</w:t>
            </w:r>
          </w:p>
        </w:tc>
      </w:tr>
      <w:tr w14:paraId="3B182F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A03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技术沉淀价值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65FD4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核心壁垒：掌握国产化 ARM 红外仿真全栈技术，形成 3 项软著 + 1 项发明专利；</w:t>
            </w:r>
          </w:p>
          <w:p w14:paraId="198EC42B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人才培养：打造红外仿真 + 国产化嵌入式研发团队；</w:t>
            </w:r>
          </w:p>
          <w:p w14:paraId="58D9EAF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技术体系：完善公司国产化仿真技术平台，支撑后续产品迭代。</w:t>
            </w:r>
          </w:p>
        </w:tc>
      </w:tr>
      <w:tr w14:paraId="0A9BE2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6B5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行业 / 品牌效益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4701D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1. 行业影响力：国内首款国产化 ARM+Panda3D 红外仿真产品，填补技术空白；</w:t>
            </w:r>
          </w:p>
          <w:p w14:paraId="582AAD6B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2. 品牌价值：提升公司在国产化仿真、红外技术领域的品牌地位；</w:t>
            </w:r>
          </w:p>
          <w:p w14:paraId="76A1A4C1">
            <w:pPr>
              <w:pStyle w:val="6"/>
              <w:bidi w:val="0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3. 资质支撑：满足信创 / 军工国产化认证要求，助力项目投标；</w:t>
            </w:r>
          </w:p>
          <w:p w14:paraId="6DDE778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4. 标准参与：推动国产化红外仿真行业规范落地。</w:t>
            </w:r>
            <w:bookmarkStart w:id="9" w:name="_GoBack"/>
            <w:bookmarkEnd w:id="9"/>
          </w:p>
        </w:tc>
      </w:tr>
    </w:tbl>
    <w:p w14:paraId="1949BF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firstLine="420"/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DE">
      <wne:acd wne:acdName="acd0"/>
    </wne:keymap>
    <wne:keymap wne:kcmPrimary="0251">
      <wne:acd wne:acdName="acd1"/>
    </wne:keymap>
  </wne:keymaps>
  <wne:acds>
    <wne:acd wne:argValue="AQAAAAAA" wne:acdName="acd0" wne:fciIndexBasedOn="0065"/>
    <wne:acd wne:argValue="AgBoiDxohVG5WzE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BC708">
    <w:pPr>
      <w:ind w:firstLine="4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B9BF3">
    <w:pPr>
      <w:ind w:firstLine="4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18E"/>
    <w:rsid w:val="00157663"/>
    <w:rsid w:val="00182983"/>
    <w:rsid w:val="0079418E"/>
    <w:rsid w:val="00A15EC7"/>
    <w:rsid w:val="00A439E4"/>
    <w:rsid w:val="024141DC"/>
    <w:rsid w:val="06ED0E08"/>
    <w:rsid w:val="127C66E3"/>
    <w:rsid w:val="223318B8"/>
    <w:rsid w:val="26612BE0"/>
    <w:rsid w:val="3572590E"/>
    <w:rsid w:val="3C6D114E"/>
    <w:rsid w:val="3F564F2A"/>
    <w:rsid w:val="47805FFD"/>
    <w:rsid w:val="47B93B6E"/>
    <w:rsid w:val="4E3E6DEE"/>
    <w:rsid w:val="5A0C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480" w:firstLineChars="200"/>
    </w:pPr>
    <w:rPr>
      <w:rFonts w:asciiTheme="minorAscii" w:hAnsiTheme="minorAsci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autoRedefine/>
    <w:qFormat/>
    <w:uiPriority w:val="0"/>
    <w:rPr>
      <w:rFonts w:eastAsia="宋体"/>
      <w:sz w:val="28"/>
      <w:szCs w:val="20"/>
    </w:rPr>
  </w:style>
  <w:style w:type="paragraph" w:customStyle="1" w:styleId="6">
    <w:name w:val="表格内容1"/>
    <w:basedOn w:val="1"/>
    <w:uiPriority w:val="0"/>
    <w:pPr>
      <w:ind w:firstLine="0" w:firstLineChars="0"/>
    </w:pPr>
    <w:rPr>
      <w:rFonts w:eastAsia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1669</Words>
  <Characters>1687</Characters>
  <Lines>15</Lines>
  <Paragraphs>4</Paragraphs>
  <TotalTime>22</TotalTime>
  <ScaleCrop>false</ScaleCrop>
  <LinksUpToDate>false</LinksUpToDate>
  <CharactersWithSpaces>1790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2026-04-26T10:17:00Z</dcterms:created>
  <dc:creator>Apache POI</dc:creator>
  <cp:lastModifiedBy>kahnn</cp:lastModifiedBy>
  <dcterms:modified xsi:type="dcterms:W3CDTF">2026-04-30T11:37:50Z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eyJoZGlkIjoiOTk2OTc1YWQ0MWE1Mzc5N2FiMDIxNTk2M2M2MGE2ZTgiLCJ1c2VySWQiOiIxMTUxMzQ2MTU1In0=</vt:lpwstr>
  </property>
  <property fmtid="{D5CDD505-2E9C-101B-9397-08002B2CF9AE}" pid="3" name="KSOProductBuildVer">
    <vt:lpwstr>2052-12.1.0.25865</vt:lpwstr>
  </property>
  <property fmtid="{D5CDD505-2E9C-101B-9397-08002B2CF9AE}" pid="4" name="ICV">
    <vt:lpwstr>C6808DB6B42B4EC09C6F7C35406CC75C_13</vt:lpwstr>
  </property>
</Properties>
</file>