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C36B" w14:textId="77777777" w:rsidR="006E4B2A" w:rsidRDefault="00000000">
      <w:pPr>
        <w:spacing w:before="480"/>
        <w:jc w:val="center"/>
      </w:pPr>
      <w:r>
        <w:rPr>
          <w:b/>
          <w:bCs/>
          <w:color w:val="1E3A5F"/>
          <w:sz w:val="52"/>
          <w:szCs w:val="52"/>
        </w:rPr>
        <w:t xml:space="preserve">SFP </w:t>
      </w:r>
      <w:proofErr w:type="spellStart"/>
      <w:r>
        <w:rPr>
          <w:b/>
          <w:bCs/>
          <w:color w:val="1E3A5F"/>
          <w:sz w:val="52"/>
          <w:szCs w:val="52"/>
        </w:rPr>
        <w:t>PoC</w:t>
      </w:r>
      <w:proofErr w:type="spellEnd"/>
    </w:p>
    <w:p w14:paraId="1906CC38" w14:textId="77777777" w:rsidR="006E4B2A" w:rsidRDefault="00000000">
      <w:pPr>
        <w:spacing w:before="160"/>
        <w:jc w:val="center"/>
      </w:pPr>
      <w:r>
        <w:rPr>
          <w:b/>
          <w:bCs/>
          <w:color w:val="2E75B6"/>
          <w:sz w:val="30"/>
          <w:szCs w:val="30"/>
        </w:rPr>
        <w:t>Abordagens para Segunda Validação de Tamanho Funcional</w:t>
      </w:r>
    </w:p>
    <w:p w14:paraId="34D54CD9" w14:textId="77777777" w:rsidR="006E4B2A" w:rsidRDefault="00000000">
      <w:pPr>
        <w:spacing w:before="160"/>
        <w:jc w:val="center"/>
      </w:pPr>
      <w:r>
        <w:rPr>
          <w:color w:val="888888"/>
        </w:rPr>
        <w:t xml:space="preserve">Projeto de referência: </w:t>
      </w:r>
      <w:proofErr w:type="spellStart"/>
      <w:r>
        <w:rPr>
          <w:color w:val="888888"/>
        </w:rPr>
        <w:t>Precavision</w:t>
      </w:r>
      <w:proofErr w:type="spellEnd"/>
      <w:r>
        <w:rPr>
          <w:color w:val="888888"/>
        </w:rPr>
        <w:t xml:space="preserve">   |   </w:t>
      </w:r>
      <w:proofErr w:type="spellStart"/>
      <w:r>
        <w:rPr>
          <w:color w:val="888888"/>
        </w:rPr>
        <w:t>Venturus</w:t>
      </w:r>
      <w:proofErr w:type="spellEnd"/>
      <w:r>
        <w:rPr>
          <w:color w:val="888888"/>
        </w:rPr>
        <w:t xml:space="preserve">, </w:t>
      </w:r>
      <w:proofErr w:type="gramStart"/>
      <w:r>
        <w:rPr>
          <w:color w:val="888888"/>
        </w:rPr>
        <w:t>Junho</w:t>
      </w:r>
      <w:proofErr w:type="gramEnd"/>
      <w:r>
        <w:rPr>
          <w:color w:val="888888"/>
        </w:rPr>
        <w:t xml:space="preserve"> 2026</w:t>
      </w:r>
    </w:p>
    <w:p w14:paraId="75F1E5C3" w14:textId="77777777" w:rsidR="006E4B2A" w:rsidRDefault="006E4B2A"/>
    <w:p w14:paraId="5C086E3D" w14:textId="77777777" w:rsidR="006E4B2A" w:rsidRDefault="006E4B2A">
      <w:pPr>
        <w:pBdr>
          <w:bottom w:val="single" w:sz="4" w:space="1" w:color="2E75B6"/>
        </w:pBdr>
        <w:spacing w:before="180" w:after="180"/>
      </w:pPr>
    </w:p>
    <w:p w14:paraId="4A79F280" w14:textId="77777777" w:rsidR="006E4B2A" w:rsidRDefault="006E4B2A"/>
    <w:p w14:paraId="4358F842" w14:textId="77777777" w:rsidR="006E4B2A" w:rsidRDefault="00000000">
      <w:pPr>
        <w:pStyle w:val="Ttulo1"/>
      </w:pPr>
      <w:r>
        <w:t>Contexto</w:t>
      </w:r>
    </w:p>
    <w:p w14:paraId="4738DB0F" w14:textId="77777777" w:rsidR="006E4B2A" w:rsidRDefault="00000000">
      <w:pPr>
        <w:spacing w:after="140"/>
      </w:pPr>
      <w:r>
        <w:rPr>
          <w:color w:val="000000"/>
        </w:rPr>
        <w:t>A pipeline SFP (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</w:t>
      </w:r>
      <w:proofErr w:type="spellEnd"/>
      <w:r>
        <w:rPr>
          <w:color w:val="000000"/>
        </w:rPr>
        <w:t xml:space="preserve"> Points) já produz uma contagem automatizada de tamanho funcional a partir do código-fonte. Para aumentar a confiabilidade metodológica, o objetivo é obter uma segunda contagem independente — pelo caminho tradicional IFPUG ou por um método alternativo — e comparar os resultados.</w:t>
      </w:r>
    </w:p>
    <w:p w14:paraId="6B38BB8B" w14:textId="77777777" w:rsidR="006E4B2A" w:rsidRDefault="00000000">
      <w:pPr>
        <w:spacing w:after="140"/>
      </w:pPr>
      <w:r>
        <w:rPr>
          <w:color w:val="000000"/>
        </w:rPr>
        <w:t xml:space="preserve">Este documento apresenta cinco abordagens viáveis, com suas pré-condições, esforço estimado e limitações. O projeto de referência para a validação é o </w:t>
      </w:r>
      <w:proofErr w:type="spellStart"/>
      <w:r>
        <w:rPr>
          <w:color w:val="000000"/>
        </w:rPr>
        <w:t>Precavision</w:t>
      </w:r>
      <w:proofErr w:type="spellEnd"/>
      <w:r>
        <w:rPr>
          <w:color w:val="000000"/>
        </w:rPr>
        <w:t xml:space="preserve"> (Java / Spring Boot), já processado pela pipeline SFP com resultado: FD = 20, FT = 129, Total = 149 SFP.</w:t>
      </w:r>
    </w:p>
    <w:p w14:paraId="7A7FAF51" w14:textId="77777777" w:rsidR="006E4B2A" w:rsidRDefault="006E4B2A"/>
    <w:p w14:paraId="0F759EF4" w14:textId="77777777" w:rsidR="006E4B2A" w:rsidRDefault="00000000">
      <w:pPr>
        <w:pStyle w:val="Ttulo1"/>
      </w:pPr>
      <w:r>
        <w:t>Glossário de Siglas</w:t>
      </w:r>
    </w:p>
    <w:p w14:paraId="2E5FB91A" w14:textId="77777777" w:rsidR="006E4B2A" w:rsidRDefault="00000000">
      <w:pPr>
        <w:spacing w:after="160"/>
      </w:pPr>
      <w:r>
        <w:rPr>
          <w:color w:val="000000"/>
        </w:rPr>
        <w:t>Siglas utilizadas neste documento: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6E4B2A" w14:paraId="4A4884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CF8B5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DFE91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completo</w:t>
            </w:r>
          </w:p>
        </w:tc>
        <w:tc>
          <w:tcPr>
            <w:tcW w:w="4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BA6BE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é</w:t>
            </w:r>
          </w:p>
        </w:tc>
      </w:tr>
      <w:tr w:rsidR="006E4B2A" w14:paraId="1EBF98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2C011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FP / PF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F2411" w14:textId="77777777" w:rsidR="006E4B2A" w:rsidRDefault="00000000"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Point / Ponto de Função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77C7D" w14:textId="77777777" w:rsidR="006E4B2A" w:rsidRDefault="00000000">
            <w:r>
              <w:rPr>
                <w:color w:val="000000"/>
                <w:sz w:val="20"/>
                <w:szCs w:val="20"/>
              </w:rPr>
              <w:t>Unidade de medida de tamanho funcional de software (ISO 20926 / IFPUG).</w:t>
            </w:r>
          </w:p>
        </w:tc>
      </w:tr>
      <w:tr w:rsidR="006E4B2A" w14:paraId="36497A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7F468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FD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8145F" w14:textId="77777777" w:rsidR="006E4B2A" w:rsidRDefault="00000000">
            <w:r>
              <w:rPr>
                <w:color w:val="000000"/>
                <w:sz w:val="20"/>
                <w:szCs w:val="20"/>
              </w:rPr>
              <w:t>Função de Dados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24B25" w14:textId="77777777" w:rsidR="006E4B2A" w:rsidRDefault="00000000">
            <w:r>
              <w:rPr>
                <w:color w:val="000000"/>
                <w:sz w:val="20"/>
                <w:szCs w:val="20"/>
              </w:rPr>
              <w:t>Grupos de dados lógicos mantidos ou referenciados pelo sistema. Peso ISO: 7 PF cada.</w:t>
            </w:r>
          </w:p>
        </w:tc>
      </w:tr>
      <w:tr w:rsidR="006E4B2A" w14:paraId="1B38A4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1F7BC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9B632" w14:textId="77777777" w:rsidR="006E4B2A" w:rsidRDefault="00000000">
            <w:r>
              <w:rPr>
                <w:color w:val="000000"/>
                <w:sz w:val="20"/>
                <w:szCs w:val="20"/>
              </w:rPr>
              <w:t>Função de Transação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F8046" w14:textId="77777777" w:rsidR="006E4B2A" w:rsidRDefault="00000000">
            <w:r>
              <w:rPr>
                <w:color w:val="000000"/>
                <w:sz w:val="20"/>
                <w:szCs w:val="20"/>
              </w:rPr>
              <w:t>Operações elementares que processam dados (entrada, saída, consulta). Peso ISO: 4,6 PF cada.</w:t>
            </w:r>
          </w:p>
        </w:tc>
      </w:tr>
      <w:tr w:rsidR="006E4B2A" w14:paraId="203CBE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49BAE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ALI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53D66" w14:textId="77777777" w:rsidR="006E4B2A" w:rsidRDefault="00000000">
            <w:r>
              <w:rPr>
                <w:color w:val="000000"/>
                <w:sz w:val="20"/>
                <w:szCs w:val="20"/>
              </w:rPr>
              <w:t>Arquivo Lógico Interno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14E11" w14:textId="77777777" w:rsidR="006E4B2A" w:rsidRDefault="00000000">
            <w:r>
              <w:rPr>
                <w:color w:val="000000"/>
                <w:sz w:val="20"/>
                <w:szCs w:val="20"/>
              </w:rPr>
              <w:t>Grupo de dados mantido e controlado pelo próprio sistema (equivale a FD interno).</w:t>
            </w:r>
          </w:p>
        </w:tc>
      </w:tr>
      <w:tr w:rsidR="006E4B2A" w14:paraId="7DA6F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63381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AIE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2B4F3" w14:textId="77777777" w:rsidR="006E4B2A" w:rsidRDefault="00000000">
            <w:r>
              <w:rPr>
                <w:color w:val="000000"/>
                <w:sz w:val="20"/>
                <w:szCs w:val="20"/>
              </w:rPr>
              <w:t>Arquivo de Interface Externa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4CD5A" w14:textId="77777777" w:rsidR="006E4B2A" w:rsidRDefault="00000000">
            <w:r>
              <w:rPr>
                <w:color w:val="000000"/>
                <w:sz w:val="20"/>
                <w:szCs w:val="20"/>
              </w:rPr>
              <w:t>Grupo de dados de outro sistema referenciado pelo sistema medido (equivale a FD externo).</w:t>
            </w:r>
          </w:p>
        </w:tc>
      </w:tr>
      <w:tr w:rsidR="006E4B2A" w14:paraId="68003F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0462B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EP /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088E7" w14:textId="77777777" w:rsidR="006E4B2A" w:rsidRDefault="00000000">
            <w:r>
              <w:rPr>
                <w:color w:val="000000"/>
                <w:sz w:val="20"/>
                <w:szCs w:val="20"/>
              </w:rPr>
              <w:t>Processo Elementar / Função de Transação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10959" w14:textId="77777777" w:rsidR="006E4B2A" w:rsidRDefault="00000000">
            <w:r>
              <w:rPr>
                <w:color w:val="000000"/>
                <w:sz w:val="20"/>
                <w:szCs w:val="20"/>
              </w:rPr>
              <w:t>Operação atômica na fronteira do sistema com o usuário — leitura, escrita ou consulta.</w:t>
            </w:r>
          </w:p>
        </w:tc>
      </w:tr>
      <w:tr w:rsidR="006E4B2A" w14:paraId="09812F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1C740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SFP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5DEB5" w14:textId="77777777" w:rsidR="006E4B2A" w:rsidRDefault="00000000">
            <w:proofErr w:type="spellStart"/>
            <w:r>
              <w:rPr>
                <w:color w:val="000000"/>
                <w:sz w:val="20"/>
                <w:szCs w:val="20"/>
              </w:rPr>
              <w:t>Simple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Points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D945B" w14:textId="77777777" w:rsidR="006E4B2A" w:rsidRDefault="00000000">
            <w:r>
              <w:rPr>
                <w:color w:val="000000"/>
                <w:sz w:val="20"/>
                <w:szCs w:val="20"/>
              </w:rPr>
              <w:t>Simplificação ISO do IFPUG: conta apenas FD e FT, sem complexidade ponderada.</w:t>
            </w:r>
          </w:p>
        </w:tc>
      </w:tr>
      <w:tr w:rsidR="006E4B2A" w14:paraId="6E1120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0079E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IFPUG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11B27" w14:textId="77777777" w:rsidR="006E4B2A" w:rsidRPr="0083701C" w:rsidRDefault="00000000">
            <w:pPr>
              <w:rPr>
                <w:lang w:val="en-US"/>
              </w:rPr>
            </w:pPr>
            <w:r w:rsidRPr="0083701C">
              <w:rPr>
                <w:color w:val="000000"/>
                <w:sz w:val="20"/>
                <w:szCs w:val="20"/>
                <w:lang w:val="en-US"/>
              </w:rPr>
              <w:t>Int'l Function Point Users Group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B9071" w14:textId="77777777" w:rsidR="006E4B2A" w:rsidRDefault="00000000">
            <w:r>
              <w:rPr>
                <w:color w:val="000000"/>
                <w:sz w:val="20"/>
                <w:szCs w:val="20"/>
              </w:rPr>
              <w:t>Organização que mantém o padrão de contagem de Pontos de Função (ISO 20926).</w:t>
            </w:r>
          </w:p>
        </w:tc>
      </w:tr>
      <w:tr w:rsidR="006E4B2A" w14:paraId="720C1C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286EC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COSMIC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EDA7C" w14:textId="77777777" w:rsidR="006E4B2A" w:rsidRPr="0083701C" w:rsidRDefault="00000000">
            <w:pPr>
              <w:rPr>
                <w:lang w:val="en-US"/>
              </w:rPr>
            </w:pPr>
            <w:r w:rsidRPr="0083701C">
              <w:rPr>
                <w:color w:val="000000"/>
                <w:sz w:val="20"/>
                <w:szCs w:val="20"/>
                <w:lang w:val="en-US"/>
              </w:rPr>
              <w:t>Common Software Measurement Int'l Cons.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09D36" w14:textId="77777777" w:rsidR="006E4B2A" w:rsidRDefault="00000000">
            <w:r>
              <w:rPr>
                <w:color w:val="000000"/>
                <w:sz w:val="20"/>
                <w:szCs w:val="20"/>
              </w:rPr>
              <w:t>Método alternativo ISO (19761) de medição funcional por movimentos de dados.</w:t>
            </w:r>
          </w:p>
        </w:tc>
      </w:tr>
      <w:tr w:rsidR="006E4B2A" w14:paraId="503ECC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D3176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PBI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F5E18" w14:textId="77777777" w:rsidR="006E4B2A" w:rsidRDefault="00000000"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Backlog Item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9C3F1" w14:textId="77777777" w:rsidR="006E4B2A" w:rsidRDefault="00000000">
            <w:r>
              <w:rPr>
                <w:color w:val="000000"/>
                <w:sz w:val="20"/>
                <w:szCs w:val="20"/>
              </w:rPr>
              <w:t xml:space="preserve">Item de trabalho no backlog do produto — equivale a uma história de usuário ou requisito no Azure </w:t>
            </w:r>
            <w:proofErr w:type="spellStart"/>
            <w:r>
              <w:rPr>
                <w:color w:val="000000"/>
                <w:sz w:val="20"/>
                <w:szCs w:val="20"/>
              </w:rPr>
              <w:t>DevOps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E4B2A" w14:paraId="429436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72697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DDL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02794" w14:textId="77777777" w:rsidR="006E4B2A" w:rsidRDefault="00000000">
            <w:r>
              <w:rPr>
                <w:color w:val="000000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000000"/>
                <w:sz w:val="20"/>
                <w:szCs w:val="20"/>
              </w:rPr>
              <w:t>Definition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B1F81" w14:textId="77777777" w:rsidR="006E4B2A" w:rsidRDefault="00000000">
            <w:r>
              <w:rPr>
                <w:color w:val="000000"/>
                <w:sz w:val="20"/>
                <w:szCs w:val="20"/>
              </w:rPr>
              <w:t xml:space="preserve">Linguagem SQL usada para definir a estrutura do banco de dados (CREATE </w:t>
            </w:r>
            <w:proofErr w:type="gramStart"/>
            <w:r>
              <w:rPr>
                <w:color w:val="000000"/>
                <w:sz w:val="20"/>
                <w:szCs w:val="20"/>
              </w:rPr>
              <w:t>TABLE, etc.</w:t>
            </w:r>
            <w:proofErr w:type="gram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6E4B2A" w14:paraId="17A1F9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D3D75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B83ED" w14:textId="77777777" w:rsidR="006E4B2A" w:rsidRDefault="00000000">
            <w:r>
              <w:rPr>
                <w:color w:val="000000"/>
                <w:sz w:val="20"/>
                <w:szCs w:val="20"/>
              </w:rPr>
              <w:t>Entidade-Relacionamento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0ED72" w14:textId="77777777" w:rsidR="006E4B2A" w:rsidRDefault="00000000">
            <w:r>
              <w:rPr>
                <w:color w:val="000000"/>
                <w:sz w:val="20"/>
                <w:szCs w:val="20"/>
              </w:rPr>
              <w:t>Diagrama que modela as entidades de dados e seus relacionamentos no banco de dados.</w:t>
            </w:r>
          </w:p>
        </w:tc>
      </w:tr>
      <w:tr w:rsidR="006E4B2A" w14:paraId="5E4CD4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8B03F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FSM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E3003" w14:textId="77777777" w:rsidR="006E4B2A" w:rsidRDefault="00000000">
            <w:proofErr w:type="spellStart"/>
            <w:r>
              <w:rPr>
                <w:color w:val="000000"/>
                <w:sz w:val="20"/>
                <w:szCs w:val="20"/>
              </w:rPr>
              <w:t>Functional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Measurement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4B5BC" w14:textId="77777777" w:rsidR="006E4B2A" w:rsidRDefault="00000000">
            <w:r>
              <w:rPr>
                <w:color w:val="000000"/>
                <w:sz w:val="20"/>
                <w:szCs w:val="20"/>
              </w:rPr>
              <w:t>Medição de tamanho funcional — categoria de métodos à qual SFP, IFPUG e COSMIC pertencem.</w:t>
            </w:r>
          </w:p>
        </w:tc>
      </w:tr>
    </w:tbl>
    <w:p w14:paraId="4482E43D" w14:textId="77777777" w:rsidR="006E4B2A" w:rsidRDefault="006E4B2A"/>
    <w:p w14:paraId="6C7AC8C8" w14:textId="77777777" w:rsidR="006E4B2A" w:rsidRDefault="006E4B2A"/>
    <w:p w14:paraId="3D758B94" w14:textId="77777777" w:rsidR="006E4B2A" w:rsidRDefault="00000000">
      <w:pPr>
        <w:pStyle w:val="Ttulo1"/>
      </w:pPr>
      <w:r>
        <w:t>As 5 Abordagens</w:t>
      </w:r>
    </w:p>
    <w:p w14:paraId="61788E65" w14:textId="77777777" w:rsidR="006E4B2A" w:rsidRDefault="00000000">
      <w:pPr>
        <w:pStyle w:val="Ttulo2"/>
      </w:pPr>
      <w:proofErr w:type="gramStart"/>
      <w:r>
        <w:t xml:space="preserve">①  </w:t>
      </w:r>
      <w:proofErr w:type="spellStart"/>
      <w:r>
        <w:t>OpenAPI</w:t>
      </w:r>
      <w:proofErr w:type="spellEnd"/>
      <w:proofErr w:type="gramEnd"/>
      <w:r>
        <w:t xml:space="preserve"> / Swagger → Contagem direta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73728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BAC87" w14:textId="77777777" w:rsidR="006E4B2A" w:rsidRDefault="00000000">
            <w:pPr>
              <w:spacing w:after="80"/>
            </w:pPr>
            <w:r>
              <w:rPr>
                <w:b/>
                <w:bCs/>
                <w:color w:val="856404"/>
              </w:rPr>
              <w:t>Pré-condição</w:t>
            </w:r>
          </w:p>
          <w:p w14:paraId="1A16B034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Documentação Swagger ou arquivo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/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>) disponível no projeto.</w:t>
            </w:r>
          </w:p>
        </w:tc>
      </w:tr>
    </w:tbl>
    <w:p w14:paraId="0C1A0E9F" w14:textId="77777777" w:rsidR="006E4B2A" w:rsidRDefault="006E4B2A"/>
    <w:p w14:paraId="5EAF94D8" w14:textId="77777777" w:rsidR="006E4B2A" w:rsidRDefault="00000000">
      <w:pPr>
        <w:spacing w:after="80"/>
      </w:pPr>
      <w:r>
        <w:rPr>
          <w:b/>
          <w:bCs/>
          <w:color w:val="000000"/>
        </w:rPr>
        <w:t>Como executar:</w:t>
      </w:r>
    </w:p>
    <w:p w14:paraId="10EE0D52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Exportar o arquivo </w:t>
      </w:r>
      <w:proofErr w:type="spellStart"/>
      <w:r>
        <w:rPr>
          <w:color w:val="000000"/>
          <w:sz w:val="21"/>
          <w:szCs w:val="21"/>
        </w:rPr>
        <w:t>OpenAPI</w:t>
      </w:r>
      <w:proofErr w:type="spellEnd"/>
      <w:r>
        <w:rPr>
          <w:color w:val="000000"/>
          <w:sz w:val="21"/>
          <w:szCs w:val="21"/>
        </w:rPr>
        <w:t xml:space="preserve"> do </w:t>
      </w:r>
      <w:proofErr w:type="spellStart"/>
      <w:r>
        <w:rPr>
          <w:color w:val="000000"/>
          <w:sz w:val="21"/>
          <w:szCs w:val="21"/>
        </w:rPr>
        <w:t>Precavision</w:t>
      </w:r>
      <w:proofErr w:type="spellEnd"/>
      <w:r>
        <w:rPr>
          <w:color w:val="000000"/>
          <w:sz w:val="21"/>
          <w:szCs w:val="21"/>
        </w:rPr>
        <w:t xml:space="preserve"> (geralmente em /v3/api-</w:t>
      </w:r>
      <w:proofErr w:type="spellStart"/>
      <w:r>
        <w:rPr>
          <w:color w:val="000000"/>
          <w:sz w:val="21"/>
          <w:szCs w:val="21"/>
        </w:rPr>
        <w:t>docs</w:t>
      </w:r>
      <w:proofErr w:type="spellEnd"/>
      <w:r>
        <w:rPr>
          <w:color w:val="000000"/>
          <w:sz w:val="21"/>
          <w:szCs w:val="21"/>
        </w:rPr>
        <w:t xml:space="preserve"> no Spring Boot).</w:t>
      </w:r>
    </w:p>
    <w:p w14:paraId="1781B704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Cada </w:t>
      </w:r>
      <w:proofErr w:type="spellStart"/>
      <w:r>
        <w:rPr>
          <w:color w:val="000000"/>
          <w:sz w:val="21"/>
          <w:szCs w:val="21"/>
        </w:rPr>
        <w:t>endpoint</w:t>
      </w:r>
      <w:proofErr w:type="spellEnd"/>
      <w:r>
        <w:rPr>
          <w:color w:val="000000"/>
          <w:sz w:val="21"/>
          <w:szCs w:val="21"/>
        </w:rPr>
        <w:t xml:space="preserve"> documentado = 1 FT (Função de Transação).</w:t>
      </w:r>
    </w:p>
    <w:p w14:paraId="6656DF14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Cada entidade referenciada nos </w:t>
      </w:r>
      <w:proofErr w:type="spellStart"/>
      <w:r>
        <w:rPr>
          <w:color w:val="000000"/>
          <w:sz w:val="21"/>
          <w:szCs w:val="21"/>
        </w:rPr>
        <w:t>schemas</w:t>
      </w:r>
      <w:proofErr w:type="spellEnd"/>
      <w:r>
        <w:rPr>
          <w:color w:val="000000"/>
          <w:sz w:val="21"/>
          <w:szCs w:val="21"/>
        </w:rPr>
        <w:t xml:space="preserve"> = candidata a ALI ou AIE (FD).</w:t>
      </w:r>
    </w:p>
    <w:p w14:paraId="2DB8FF2C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Agente LLM ou script lê o arquivo e produz a contagem sem tocar no código-fonte.</w:t>
      </w:r>
    </w:p>
    <w:p w14:paraId="2D220CF5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0BB89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57E1E8" w14:textId="77777777" w:rsidR="006E4B2A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Vantagem</w:t>
            </w:r>
            <w:proofErr w:type="gramEnd"/>
          </w:p>
          <w:p w14:paraId="5C823F05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Fonte é um artefato de design formal, não código. Alta precisão com baixo esforço.</w:t>
            </w:r>
          </w:p>
        </w:tc>
      </w:tr>
    </w:tbl>
    <w:p w14:paraId="436FDE37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7D3B1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ACBF2B" w14:textId="77777777" w:rsidR="006E4B2A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⚠</w:t>
            </w:r>
            <w:proofErr w:type="gramStart"/>
            <w:r>
              <w:rPr>
                <w:b/>
                <w:bCs/>
                <w:color w:val="E65100"/>
              </w:rPr>
              <w:t>️  Limitação</w:t>
            </w:r>
            <w:proofErr w:type="gramEnd"/>
          </w:p>
          <w:p w14:paraId="3F2EB0A2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Depende da qualidade da documentação.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não documentados ficam fora da contagem.</w:t>
            </w:r>
          </w:p>
        </w:tc>
      </w:tr>
    </w:tbl>
    <w:p w14:paraId="5E4CA45A" w14:textId="77777777" w:rsidR="006E4B2A" w:rsidRDefault="006E4B2A"/>
    <w:p w14:paraId="3D49E9EF" w14:textId="77777777" w:rsidR="006E4B2A" w:rsidRDefault="006E4B2A"/>
    <w:p w14:paraId="57A05C7A" w14:textId="77777777" w:rsidR="006E4B2A" w:rsidRDefault="00000000">
      <w:pPr>
        <w:pStyle w:val="Ttulo2"/>
      </w:pPr>
      <w:proofErr w:type="gramStart"/>
      <w:r>
        <w:t>②  Azure</w:t>
      </w:r>
      <w:proofErr w:type="gram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PBIs</w:t>
      </w:r>
      <w:proofErr w:type="spellEnd"/>
      <w:r>
        <w:t xml:space="preserve"> / </w:t>
      </w:r>
      <w:proofErr w:type="spellStart"/>
      <w:r>
        <w:t>User</w:t>
      </w:r>
      <w:proofErr w:type="spellEnd"/>
      <w:r>
        <w:t xml:space="preserve"> Stories → Contagem por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1FA32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088851" w14:textId="77777777" w:rsidR="006E4B2A" w:rsidRDefault="00000000">
            <w:pPr>
              <w:spacing w:after="80"/>
            </w:pPr>
            <w:r>
              <w:rPr>
                <w:b/>
                <w:bCs/>
                <w:color w:val="856404"/>
              </w:rPr>
              <w:t>Pré-condição</w:t>
            </w:r>
          </w:p>
          <w:p w14:paraId="686256A7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Projeto </w:t>
            </w:r>
            <w:proofErr w:type="spellStart"/>
            <w:r>
              <w:rPr>
                <w:sz w:val="20"/>
                <w:szCs w:val="20"/>
              </w:rPr>
              <w:t>Precavision</w:t>
            </w:r>
            <w:proofErr w:type="spellEnd"/>
            <w:r>
              <w:rPr>
                <w:sz w:val="20"/>
                <w:szCs w:val="20"/>
              </w:rPr>
              <w:t xml:space="preserve"> com backlog ativo no Azure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e histórias de usuário escritas.</w:t>
            </w:r>
          </w:p>
        </w:tc>
      </w:tr>
    </w:tbl>
    <w:p w14:paraId="51F29A96" w14:textId="77777777" w:rsidR="006E4B2A" w:rsidRDefault="006E4B2A"/>
    <w:p w14:paraId="63213E63" w14:textId="77777777" w:rsidR="006E4B2A" w:rsidRDefault="00000000">
      <w:pPr>
        <w:spacing w:after="80"/>
      </w:pPr>
      <w:r>
        <w:rPr>
          <w:b/>
          <w:bCs/>
          <w:color w:val="000000"/>
        </w:rPr>
        <w:t>Como executar:</w:t>
      </w:r>
    </w:p>
    <w:p w14:paraId="0D634A43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lastRenderedPageBreak/>
        <w:t xml:space="preserve">Exportar os </w:t>
      </w:r>
      <w:proofErr w:type="spellStart"/>
      <w:r>
        <w:rPr>
          <w:color w:val="000000"/>
          <w:sz w:val="21"/>
          <w:szCs w:val="21"/>
        </w:rPr>
        <w:t>PBIs</w:t>
      </w:r>
      <w:proofErr w:type="spellEnd"/>
      <w:r>
        <w:rPr>
          <w:color w:val="000000"/>
          <w:sz w:val="21"/>
          <w:szCs w:val="21"/>
        </w:rPr>
        <w:t xml:space="preserve"> (</w:t>
      </w:r>
      <w:proofErr w:type="spellStart"/>
      <w:r>
        <w:rPr>
          <w:color w:val="000000"/>
          <w:sz w:val="21"/>
          <w:szCs w:val="21"/>
        </w:rPr>
        <w:t>Product</w:t>
      </w:r>
      <w:proofErr w:type="spellEnd"/>
      <w:r>
        <w:rPr>
          <w:color w:val="000000"/>
          <w:sz w:val="21"/>
          <w:szCs w:val="21"/>
        </w:rPr>
        <w:t xml:space="preserve"> Backlog </w:t>
      </w:r>
      <w:proofErr w:type="spellStart"/>
      <w:r>
        <w:rPr>
          <w:color w:val="000000"/>
          <w:sz w:val="21"/>
          <w:szCs w:val="21"/>
        </w:rPr>
        <w:t>Items</w:t>
      </w:r>
      <w:proofErr w:type="spellEnd"/>
      <w:r>
        <w:rPr>
          <w:color w:val="000000"/>
          <w:sz w:val="21"/>
          <w:szCs w:val="21"/>
        </w:rPr>
        <w:t xml:space="preserve">) entregues via API do Azure </w:t>
      </w:r>
      <w:proofErr w:type="spellStart"/>
      <w:r>
        <w:rPr>
          <w:color w:val="000000"/>
          <w:sz w:val="21"/>
          <w:szCs w:val="21"/>
        </w:rPr>
        <w:t>DevOps</w:t>
      </w:r>
      <w:proofErr w:type="spellEnd"/>
      <w:r>
        <w:rPr>
          <w:color w:val="000000"/>
          <w:sz w:val="21"/>
          <w:szCs w:val="21"/>
        </w:rPr>
        <w:t>.</w:t>
      </w:r>
    </w:p>
    <w:p w14:paraId="3524AE34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Cada PBI normalmente representa 1–3 Processos Elementares (FT).</w:t>
      </w:r>
    </w:p>
    <w:p w14:paraId="5B3BCDC4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Entidades de dados mencionadas nas histórias mapeiam para ALI/AIE (FD).</w:t>
      </w:r>
    </w:p>
    <w:p w14:paraId="2051BFFB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Agente LLM interpreta as histórias e produz contagem em linguagem de negócio.</w:t>
      </w:r>
    </w:p>
    <w:p w14:paraId="7B3EC99C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01687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9662D" w14:textId="77777777" w:rsidR="006E4B2A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Vantagem</w:t>
            </w:r>
            <w:proofErr w:type="gramEnd"/>
          </w:p>
          <w:p w14:paraId="7361939A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Contagem vem da perspectiva do negócio — independente da implementação. Máxima credibilidade metodológica.</w:t>
            </w:r>
          </w:p>
        </w:tc>
      </w:tr>
    </w:tbl>
    <w:p w14:paraId="1ECAE3D4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6EAF1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9307FE" w14:textId="77777777" w:rsidR="006E4B2A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⚠</w:t>
            </w:r>
            <w:proofErr w:type="gramStart"/>
            <w:r>
              <w:rPr>
                <w:b/>
                <w:bCs/>
                <w:color w:val="E65100"/>
              </w:rPr>
              <w:t>️  Limitação</w:t>
            </w:r>
            <w:proofErr w:type="gramEnd"/>
          </w:p>
          <w:p w14:paraId="6BA687A8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Qualidade depende de como as histórias foram escritas. </w:t>
            </w:r>
            <w:proofErr w:type="spellStart"/>
            <w:r>
              <w:rPr>
                <w:sz w:val="20"/>
                <w:szCs w:val="20"/>
              </w:rPr>
              <w:t>PBIs</w:t>
            </w:r>
            <w:proofErr w:type="spellEnd"/>
            <w:r>
              <w:rPr>
                <w:sz w:val="20"/>
                <w:szCs w:val="20"/>
              </w:rPr>
              <w:t xml:space="preserve"> técnicos (infraestrutura) precisam ser filtrados.</w:t>
            </w:r>
          </w:p>
        </w:tc>
      </w:tr>
    </w:tbl>
    <w:p w14:paraId="4EB4B984" w14:textId="77777777" w:rsidR="006E4B2A" w:rsidRDefault="006E4B2A"/>
    <w:p w14:paraId="063DEC60" w14:textId="77777777" w:rsidR="006E4B2A" w:rsidRDefault="006E4B2A"/>
    <w:p w14:paraId="10A1D62D" w14:textId="77777777" w:rsidR="006E4B2A" w:rsidRDefault="00000000">
      <w:pPr>
        <w:pStyle w:val="Ttulo2"/>
      </w:pPr>
      <w:proofErr w:type="gramStart"/>
      <w:r>
        <w:t>③  Esquema</w:t>
      </w:r>
      <w:proofErr w:type="gramEnd"/>
      <w:r>
        <w:t xml:space="preserve"> do banco de dados (DDL / ER) → Contagem de FD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560EA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A231C6" w14:textId="77777777" w:rsidR="006E4B2A" w:rsidRDefault="00000000">
            <w:pPr>
              <w:spacing w:after="80"/>
            </w:pPr>
            <w:r>
              <w:rPr>
                <w:b/>
                <w:bCs/>
                <w:color w:val="856404"/>
              </w:rPr>
              <w:t>Pré-condição</w:t>
            </w:r>
          </w:p>
          <w:p w14:paraId="085C3FF7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Acesso ao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do banco de dados (script DDL,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do DBA ou diagrama ER).</w:t>
            </w:r>
          </w:p>
        </w:tc>
      </w:tr>
    </w:tbl>
    <w:p w14:paraId="0A5E27FF" w14:textId="77777777" w:rsidR="006E4B2A" w:rsidRDefault="006E4B2A"/>
    <w:p w14:paraId="59311E8D" w14:textId="77777777" w:rsidR="006E4B2A" w:rsidRDefault="00000000">
      <w:pPr>
        <w:spacing w:after="80"/>
      </w:pPr>
      <w:r>
        <w:rPr>
          <w:b/>
          <w:bCs/>
          <w:color w:val="000000"/>
        </w:rPr>
        <w:t>Como executar:</w:t>
      </w:r>
    </w:p>
    <w:p w14:paraId="4C6DFAE9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Cada tabela com dados de negócio = 1 ALI (Arquivo Lógico Interno / FD interno).</w:t>
      </w:r>
    </w:p>
    <w:p w14:paraId="323FA7DE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Tabelas de sistemas externos referenciadas = AIE (Arquivo de Interface Externa / FD externo).</w:t>
      </w:r>
    </w:p>
    <w:p w14:paraId="4F17C6B7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Tabelas auxiliares (log, auditoria, configuração) são excluídas conforme regra IFPUG.</w:t>
      </w:r>
    </w:p>
    <w:p w14:paraId="5E2F36DE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Resultado: contagem de FD completamente independente do código e da LLM.</w:t>
      </w:r>
    </w:p>
    <w:p w14:paraId="5458BB10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47879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0D3B89" w14:textId="77777777" w:rsidR="006E4B2A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Vantagem</w:t>
            </w:r>
            <w:proofErr w:type="gramEnd"/>
          </w:p>
          <w:p w14:paraId="75B1F818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Determinístico e objetivo. Fecha a discussão sobre FD com evidência concreta do modelo de dados.</w:t>
            </w:r>
          </w:p>
        </w:tc>
      </w:tr>
    </w:tbl>
    <w:p w14:paraId="38D23F8E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69466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DCFD27" w14:textId="77777777" w:rsidR="006E4B2A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⚠</w:t>
            </w:r>
            <w:proofErr w:type="gramStart"/>
            <w:r>
              <w:rPr>
                <w:b/>
                <w:bCs/>
                <w:color w:val="E65100"/>
              </w:rPr>
              <w:t>️  Limitação</w:t>
            </w:r>
            <w:proofErr w:type="gramEnd"/>
          </w:p>
          <w:p w14:paraId="5CE8C7D0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Cobre apenas Funções de Dados (FD). </w:t>
            </w:r>
            <w:proofErr w:type="spellStart"/>
            <w:r>
              <w:rPr>
                <w:sz w:val="20"/>
                <w:szCs w:val="20"/>
              </w:rPr>
              <w:t>FTs</w:t>
            </w:r>
            <w:proofErr w:type="spellEnd"/>
            <w:r>
              <w:rPr>
                <w:sz w:val="20"/>
                <w:szCs w:val="20"/>
              </w:rPr>
              <w:t xml:space="preserve"> precisam de outra fonte complementar.</w:t>
            </w:r>
          </w:p>
        </w:tc>
      </w:tr>
    </w:tbl>
    <w:p w14:paraId="4BE2F5EE" w14:textId="77777777" w:rsidR="006E4B2A" w:rsidRDefault="006E4B2A"/>
    <w:p w14:paraId="5D0195C8" w14:textId="77777777" w:rsidR="006E4B2A" w:rsidRDefault="006E4B2A"/>
    <w:p w14:paraId="20DC1032" w14:textId="77777777" w:rsidR="006E4B2A" w:rsidRDefault="00000000">
      <w:pPr>
        <w:pStyle w:val="Ttulo2"/>
      </w:pPr>
      <w:proofErr w:type="gramStart"/>
      <w:r>
        <w:t>④  COSMIC</w:t>
      </w:r>
      <w:proofErr w:type="gramEnd"/>
      <w:r>
        <w:t xml:space="preserve"> FSM (ISO 19761) — Método alternativo de medição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658D3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660F47" w14:textId="77777777" w:rsidR="006E4B2A" w:rsidRDefault="00000000">
            <w:pPr>
              <w:spacing w:after="80"/>
            </w:pPr>
            <w:r>
              <w:rPr>
                <w:b/>
                <w:bCs/>
                <w:color w:val="856404"/>
              </w:rPr>
              <w:t>Pré-condição</w:t>
            </w:r>
          </w:p>
          <w:p w14:paraId="2764EAB7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Acesso aos requisitos funcionais ou documentação de casos de uso do </w:t>
            </w:r>
            <w:proofErr w:type="spellStart"/>
            <w:r>
              <w:rPr>
                <w:sz w:val="20"/>
                <w:szCs w:val="20"/>
              </w:rPr>
              <w:t>Precavision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4E068B4" w14:textId="77777777" w:rsidR="006E4B2A" w:rsidRDefault="006E4B2A"/>
    <w:p w14:paraId="601DBEBE" w14:textId="77777777" w:rsidR="006E4B2A" w:rsidRDefault="00000000">
      <w:pPr>
        <w:spacing w:after="80"/>
      </w:pPr>
      <w:r>
        <w:rPr>
          <w:b/>
          <w:bCs/>
          <w:color w:val="000000"/>
        </w:rPr>
        <w:t>Como executar:</w:t>
      </w:r>
    </w:p>
    <w:p w14:paraId="702B7AE1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COSMIC conta movimentos de dados em vez de transações: </w:t>
      </w:r>
      <w:proofErr w:type="spellStart"/>
      <w:r>
        <w:rPr>
          <w:color w:val="000000"/>
          <w:sz w:val="21"/>
          <w:szCs w:val="21"/>
        </w:rPr>
        <w:t>Entry</w:t>
      </w:r>
      <w:proofErr w:type="spellEnd"/>
      <w:r>
        <w:rPr>
          <w:color w:val="000000"/>
          <w:sz w:val="21"/>
          <w:szCs w:val="21"/>
        </w:rPr>
        <w:t xml:space="preserve"> (E), Exit (X), </w:t>
      </w:r>
      <w:proofErr w:type="spellStart"/>
      <w:r>
        <w:rPr>
          <w:color w:val="000000"/>
          <w:sz w:val="21"/>
          <w:szCs w:val="21"/>
        </w:rPr>
        <w:t>Read</w:t>
      </w:r>
      <w:proofErr w:type="spellEnd"/>
      <w:r>
        <w:rPr>
          <w:color w:val="000000"/>
          <w:sz w:val="21"/>
          <w:szCs w:val="21"/>
        </w:rPr>
        <w:t xml:space="preserve"> (R), Write (W).</w:t>
      </w:r>
    </w:p>
    <w:p w14:paraId="4F15ED3E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lastRenderedPageBreak/>
        <w:t xml:space="preserve">Cada processo funcional tem seus movimentos mapeados — resultado em CFP (COSMIC </w:t>
      </w:r>
      <w:proofErr w:type="spellStart"/>
      <w:r>
        <w:rPr>
          <w:color w:val="000000"/>
          <w:sz w:val="21"/>
          <w:szCs w:val="21"/>
        </w:rPr>
        <w:t>Function</w:t>
      </w:r>
      <w:proofErr w:type="spellEnd"/>
      <w:r>
        <w:rPr>
          <w:color w:val="000000"/>
          <w:sz w:val="21"/>
          <w:szCs w:val="21"/>
        </w:rPr>
        <w:t xml:space="preserve"> Points).</w:t>
      </w:r>
    </w:p>
    <w:p w14:paraId="173B45C2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Tabelas de conversão publicadas permitem comparar CFP com PF IFPUG.</w:t>
      </w:r>
    </w:p>
    <w:p w14:paraId="57EFDBF9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Aplicar sobre </w:t>
      </w:r>
      <w:proofErr w:type="gramStart"/>
      <w:r>
        <w:rPr>
          <w:color w:val="000000"/>
          <w:sz w:val="21"/>
          <w:szCs w:val="21"/>
        </w:rPr>
        <w:t>os mesmos</w:t>
      </w:r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endpoints</w:t>
      </w:r>
      <w:proofErr w:type="spellEnd"/>
      <w:r>
        <w:rPr>
          <w:color w:val="000000"/>
          <w:sz w:val="21"/>
          <w:szCs w:val="21"/>
        </w:rPr>
        <w:t xml:space="preserve"> do </w:t>
      </w:r>
      <w:proofErr w:type="spellStart"/>
      <w:r>
        <w:rPr>
          <w:color w:val="000000"/>
          <w:sz w:val="21"/>
          <w:szCs w:val="21"/>
        </w:rPr>
        <w:t>Precavision</w:t>
      </w:r>
      <w:proofErr w:type="spellEnd"/>
      <w:r>
        <w:rPr>
          <w:color w:val="000000"/>
          <w:sz w:val="21"/>
          <w:szCs w:val="21"/>
        </w:rPr>
        <w:t xml:space="preserve"> gera uma terceira referência independente.</w:t>
      </w:r>
    </w:p>
    <w:p w14:paraId="27D6B7A6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5F375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502D20" w14:textId="77777777" w:rsidR="006E4B2A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Vantagem</w:t>
            </w:r>
            <w:proofErr w:type="gramEnd"/>
          </w:p>
          <w:p w14:paraId="65E00BF3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Comparar IFPUG × COSMIC × SFP pipeline é evidência de máxima credibilidade metodológica e científica.</w:t>
            </w:r>
          </w:p>
        </w:tc>
      </w:tr>
    </w:tbl>
    <w:p w14:paraId="68DF877F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4703C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5DFA50" w14:textId="77777777" w:rsidR="006E4B2A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⚠</w:t>
            </w:r>
            <w:proofErr w:type="gramStart"/>
            <w:r>
              <w:rPr>
                <w:b/>
                <w:bCs/>
                <w:color w:val="E65100"/>
              </w:rPr>
              <w:t>️  Limitação</w:t>
            </w:r>
            <w:proofErr w:type="gramEnd"/>
          </w:p>
          <w:p w14:paraId="4A58AD79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Maior esforço de aplicação. Requer conhecimento específico do método COSMIC.</w:t>
            </w:r>
          </w:p>
        </w:tc>
      </w:tr>
    </w:tbl>
    <w:p w14:paraId="7843F092" w14:textId="77777777" w:rsidR="006E4B2A" w:rsidRDefault="006E4B2A"/>
    <w:p w14:paraId="61711C7B" w14:textId="77777777" w:rsidR="006E4B2A" w:rsidRDefault="006E4B2A"/>
    <w:p w14:paraId="4B5E75DF" w14:textId="77777777" w:rsidR="006E4B2A" w:rsidRDefault="00000000">
      <w:pPr>
        <w:pStyle w:val="Ttulo2"/>
      </w:pPr>
      <w:proofErr w:type="gramStart"/>
      <w:r>
        <w:t>⑤  Back</w:t>
      </w:r>
      <w:proofErr w:type="gramEnd"/>
      <w:r>
        <w:t>-</w:t>
      </w:r>
      <w:proofErr w:type="spellStart"/>
      <w:r>
        <w:t>calculation</w:t>
      </w:r>
      <w:proofErr w:type="spellEnd"/>
      <w:r>
        <w:t xml:space="preserve"> por esforço histórico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27DDD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DCC807" w14:textId="77777777" w:rsidR="006E4B2A" w:rsidRDefault="00000000">
            <w:pPr>
              <w:spacing w:after="80"/>
            </w:pPr>
            <w:r>
              <w:rPr>
                <w:b/>
                <w:bCs/>
                <w:color w:val="856404"/>
              </w:rPr>
              <w:t>Pré-condição</w:t>
            </w:r>
          </w:p>
          <w:p w14:paraId="0DF26A1F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Horas trabalhadas registradas no Azure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, timesheets ou sprints com estimativas).</w:t>
            </w:r>
          </w:p>
        </w:tc>
      </w:tr>
    </w:tbl>
    <w:p w14:paraId="046295BF" w14:textId="77777777" w:rsidR="006E4B2A" w:rsidRDefault="006E4B2A"/>
    <w:p w14:paraId="551769AC" w14:textId="77777777" w:rsidR="006E4B2A" w:rsidRDefault="00000000">
      <w:pPr>
        <w:spacing w:after="80"/>
      </w:pPr>
      <w:r>
        <w:rPr>
          <w:b/>
          <w:bCs/>
          <w:color w:val="000000"/>
        </w:rPr>
        <w:t>Como executar:</w:t>
      </w:r>
    </w:p>
    <w:p w14:paraId="7E3DC88B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 xml:space="preserve">Levantar o esforço total entregue no </w:t>
      </w:r>
      <w:proofErr w:type="spellStart"/>
      <w:r>
        <w:rPr>
          <w:color w:val="000000"/>
          <w:sz w:val="21"/>
          <w:szCs w:val="21"/>
        </w:rPr>
        <w:t>Precavision</w:t>
      </w:r>
      <w:proofErr w:type="spellEnd"/>
      <w:r>
        <w:rPr>
          <w:color w:val="000000"/>
          <w:sz w:val="21"/>
          <w:szCs w:val="21"/>
        </w:rPr>
        <w:t xml:space="preserve"> (em horas) no Azure </w:t>
      </w:r>
      <w:proofErr w:type="spellStart"/>
      <w:r>
        <w:rPr>
          <w:color w:val="000000"/>
          <w:sz w:val="21"/>
          <w:szCs w:val="21"/>
        </w:rPr>
        <w:t>DevOps</w:t>
      </w:r>
      <w:proofErr w:type="spellEnd"/>
      <w:r>
        <w:rPr>
          <w:color w:val="000000"/>
          <w:sz w:val="21"/>
          <w:szCs w:val="21"/>
        </w:rPr>
        <w:t>.</w:t>
      </w:r>
    </w:p>
    <w:p w14:paraId="23436D44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Aplicar benchmark de produtividade da indústria para Java/Spring: 8–15 h/PF.</w:t>
      </w:r>
    </w:p>
    <w:p w14:paraId="6CC38B6A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Fórmula: PF estimado = Esforço total (h) ÷ produtividade (h/PF).</w:t>
      </w:r>
    </w:p>
    <w:p w14:paraId="24C846D0" w14:textId="77777777" w:rsidR="006E4B2A" w:rsidRDefault="00000000">
      <w:pPr>
        <w:pStyle w:val="PargrafodaLista"/>
        <w:numPr>
          <w:ilvl w:val="0"/>
          <w:numId w:val="2"/>
        </w:numPr>
        <w:spacing w:after="80"/>
      </w:pPr>
      <w:r>
        <w:rPr>
          <w:color w:val="000000"/>
          <w:sz w:val="21"/>
          <w:szCs w:val="21"/>
        </w:rPr>
        <w:t>Comparar com o resultado do pipeline SFP para verificar coerência.</w:t>
      </w:r>
    </w:p>
    <w:p w14:paraId="32516338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1D6E4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582405" w14:textId="77777777" w:rsidR="006E4B2A" w:rsidRDefault="00000000">
            <w:pPr>
              <w:spacing w:after="80"/>
            </w:pPr>
            <w:proofErr w:type="gramStart"/>
            <w:r>
              <w:rPr>
                <w:b/>
                <w:bCs/>
                <w:color w:val="2E7D32"/>
              </w:rPr>
              <w:t>✅  Vantagem</w:t>
            </w:r>
            <w:proofErr w:type="gramEnd"/>
          </w:p>
          <w:p w14:paraId="0B6ADB5D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Completamente independente de análise técnica. Valida de fora para dentro, pela perspectiva de custo.</w:t>
            </w:r>
          </w:p>
        </w:tc>
      </w:tr>
    </w:tbl>
    <w:p w14:paraId="2AEF1EF5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01225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836576" w14:textId="77777777" w:rsidR="006E4B2A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⚠</w:t>
            </w:r>
            <w:proofErr w:type="gramStart"/>
            <w:r>
              <w:rPr>
                <w:b/>
                <w:bCs/>
                <w:color w:val="E65100"/>
              </w:rPr>
              <w:t>️  Limitação</w:t>
            </w:r>
            <w:proofErr w:type="gramEnd"/>
          </w:p>
          <w:p w14:paraId="75D82C24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Benchmark de produtividade varia por empresa e contexto. Resultado é estimativa, não contagem formal.</w:t>
            </w:r>
          </w:p>
        </w:tc>
      </w:tr>
    </w:tbl>
    <w:p w14:paraId="1E769EDB" w14:textId="77777777" w:rsidR="006E4B2A" w:rsidRDefault="006E4B2A"/>
    <w:p w14:paraId="47B8EF4E" w14:textId="77777777" w:rsidR="006E4B2A" w:rsidRDefault="006E4B2A"/>
    <w:p w14:paraId="1CC16E13" w14:textId="77777777" w:rsidR="006E4B2A" w:rsidRDefault="006E4B2A">
      <w:pPr>
        <w:pBdr>
          <w:bottom w:val="single" w:sz="4" w:space="1" w:color="2E75B6"/>
        </w:pBdr>
        <w:spacing w:before="180" w:after="180"/>
      </w:pPr>
    </w:p>
    <w:p w14:paraId="43A88BE5" w14:textId="77777777" w:rsidR="006E4B2A" w:rsidRDefault="00000000">
      <w:pPr>
        <w:pStyle w:val="Ttulo1"/>
      </w:pPr>
      <w:r>
        <w:t>Quadro Comparativo</w:t>
      </w:r>
    </w:p>
    <w:p w14:paraId="340BA47D" w14:textId="77777777" w:rsidR="006E4B2A" w:rsidRDefault="00000000">
      <w:pPr>
        <w:spacing w:after="140"/>
      </w:pPr>
      <w:r>
        <w:rPr>
          <w:color w:val="000000"/>
        </w:rPr>
        <w:t>Resumo das cinco abordagens para apoiar a decisão de qual adotar:</w:t>
      </w:r>
    </w:p>
    <w:p w14:paraId="3DB21026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5"/>
        <w:gridCol w:w="1584"/>
        <w:gridCol w:w="1681"/>
        <w:gridCol w:w="1560"/>
        <w:gridCol w:w="1190"/>
      </w:tblGrid>
      <w:tr w:rsidR="006E4B2A" w14:paraId="586E3C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2593E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69EC1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Esforço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51612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Independência</w:t>
            </w:r>
          </w:p>
        </w:tc>
        <w:tc>
          <w:tcPr>
            <w:tcW w:w="1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CA713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Credibilidade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26B61" w14:textId="77777777" w:rsidR="006E4B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6E4B2A" w14:paraId="2D446F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6B528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① Swagger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08537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365FA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BD6E0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F2BE9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1–2 dias</w:t>
            </w:r>
          </w:p>
        </w:tc>
      </w:tr>
      <w:tr w:rsidR="006E4B2A" w14:paraId="609143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9681F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② Azure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DevOps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PBIs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C48F9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85EE3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Muito 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CE9A1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Muito 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BA40C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3–5 dias</w:t>
            </w:r>
          </w:p>
        </w:tc>
      </w:tr>
      <w:tr w:rsidR="006E4B2A" w14:paraId="355AB9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5B8F0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③ Esquema do banco (DDL/ER)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4B504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12E87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Muito 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29CE1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 (FD)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9212E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1–2 dias</w:t>
            </w:r>
          </w:p>
        </w:tc>
      </w:tr>
      <w:tr w:rsidR="006E4B2A" w14:paraId="735A34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96583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④ COSMIC FSM (ISO 19761)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852A4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747C1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Muito 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87959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Máxima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43B0D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1–2 sem.</w:t>
            </w:r>
          </w:p>
        </w:tc>
      </w:tr>
      <w:tr w:rsidR="006E4B2A" w14:paraId="2E41E3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C007E" w14:textId="77777777" w:rsidR="006E4B2A" w:rsidRDefault="00000000">
            <w:r>
              <w:rPr>
                <w:b/>
                <w:bCs/>
                <w:color w:val="000000"/>
                <w:sz w:val="20"/>
                <w:szCs w:val="20"/>
              </w:rPr>
              <w:t>⑤ Back-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calc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por esforço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BD0BD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Muito baixo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3E33D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1694F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1E6D9" w14:textId="77777777" w:rsidR="006E4B2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 1 dia</w:t>
            </w:r>
          </w:p>
        </w:tc>
      </w:tr>
    </w:tbl>
    <w:p w14:paraId="30B164B6" w14:textId="77777777" w:rsidR="006E4B2A" w:rsidRDefault="006E4B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4B2A" w14:paraId="578B3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7169EB" w14:textId="77777777" w:rsidR="006E4B2A" w:rsidRDefault="00000000">
            <w:pPr>
              <w:spacing w:after="80"/>
            </w:pPr>
            <w:proofErr w:type="gramStart"/>
            <w:r>
              <w:rPr>
                <w:b/>
                <w:bCs/>
                <w:color w:val="1565C0"/>
              </w:rPr>
              <w:t>💡  Recomendação</w:t>
            </w:r>
            <w:proofErr w:type="gramEnd"/>
            <w:r>
              <w:rPr>
                <w:b/>
                <w:bCs/>
                <w:color w:val="1565C0"/>
              </w:rPr>
              <w:t xml:space="preserve"> para validação rápida</w:t>
            </w:r>
          </w:p>
          <w:p w14:paraId="39F92102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Combinar ① Swagger/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(FT) + ③ Esquema do banco (FD) produz uma contagem IFPUG completa</w:t>
            </w:r>
          </w:p>
          <w:p w14:paraId="25740BE4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em 1–2 dias, sem depender de LLM ou de disponibilidade de desenvolvedores.</w:t>
            </w:r>
          </w:p>
          <w:p w14:paraId="6FF8EC36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Se o objetivo for maior rigor metodológico, adicionar ② Azure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PBIs</w:t>
            </w:r>
            <w:proofErr w:type="spellEnd"/>
            <w:r>
              <w:rPr>
                <w:sz w:val="20"/>
                <w:szCs w:val="20"/>
              </w:rPr>
              <w:t xml:space="preserve"> como fonte de requisitos</w:t>
            </w:r>
          </w:p>
          <w:p w14:paraId="3B8AD146" w14:textId="77777777" w:rsidR="006E4B2A" w:rsidRDefault="00000000">
            <w:pPr>
              <w:spacing w:after="60"/>
            </w:pPr>
            <w:r>
              <w:rPr>
                <w:sz w:val="20"/>
                <w:szCs w:val="20"/>
              </w:rPr>
              <w:t>eleva a credibilidade da comparação para nível de publicação técnica.</w:t>
            </w:r>
          </w:p>
        </w:tc>
      </w:tr>
    </w:tbl>
    <w:p w14:paraId="128DB659" w14:textId="77777777" w:rsidR="006E4B2A" w:rsidRDefault="006E4B2A"/>
    <w:p w14:paraId="619931B2" w14:textId="77777777" w:rsidR="006E4B2A" w:rsidRDefault="006E4B2A">
      <w:pPr>
        <w:pBdr>
          <w:bottom w:val="single" w:sz="4" w:space="1" w:color="2E75B6"/>
        </w:pBdr>
        <w:spacing w:before="180" w:after="180"/>
      </w:pPr>
    </w:p>
    <w:p w14:paraId="4D1470CD" w14:textId="77777777" w:rsidR="006E4B2A" w:rsidRDefault="006E4B2A"/>
    <w:p w14:paraId="24383AF9" w14:textId="77777777" w:rsidR="006E4B2A" w:rsidRDefault="00000000">
      <w:pPr>
        <w:spacing w:after="140"/>
        <w:jc w:val="center"/>
      </w:pPr>
      <w:r>
        <w:rPr>
          <w:color w:val="999999"/>
          <w:sz w:val="18"/>
          <w:szCs w:val="18"/>
        </w:rPr>
        <w:t xml:space="preserve">SFP </w:t>
      </w:r>
      <w:proofErr w:type="spellStart"/>
      <w:r>
        <w:rPr>
          <w:color w:val="999999"/>
          <w:sz w:val="18"/>
          <w:szCs w:val="18"/>
        </w:rPr>
        <w:t>PoC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gramStart"/>
      <w:r>
        <w:rPr>
          <w:color w:val="999999"/>
          <w:sz w:val="18"/>
          <w:szCs w:val="18"/>
        </w:rPr>
        <w:t>v4.5  —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spellStart"/>
      <w:r>
        <w:rPr>
          <w:color w:val="999999"/>
          <w:sz w:val="18"/>
          <w:szCs w:val="18"/>
        </w:rPr>
        <w:t>Venturus</w:t>
      </w:r>
      <w:proofErr w:type="spellEnd"/>
      <w:r>
        <w:rPr>
          <w:color w:val="999999"/>
          <w:sz w:val="18"/>
          <w:szCs w:val="18"/>
        </w:rPr>
        <w:t xml:space="preserve">, </w:t>
      </w:r>
      <w:proofErr w:type="gramStart"/>
      <w:r>
        <w:rPr>
          <w:color w:val="999999"/>
          <w:sz w:val="18"/>
          <w:szCs w:val="18"/>
        </w:rPr>
        <w:t>Junho</w:t>
      </w:r>
      <w:proofErr w:type="gramEnd"/>
      <w:r>
        <w:rPr>
          <w:color w:val="999999"/>
          <w:sz w:val="18"/>
          <w:szCs w:val="18"/>
        </w:rPr>
        <w:t xml:space="preserve"> 2026</w:t>
      </w:r>
    </w:p>
    <w:sectPr w:rsidR="006E4B2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3BB0" w14:textId="77777777" w:rsidR="0057153B" w:rsidRDefault="0057153B">
      <w:r>
        <w:separator/>
      </w:r>
    </w:p>
  </w:endnote>
  <w:endnote w:type="continuationSeparator" w:id="0">
    <w:p w14:paraId="3ACB82A8" w14:textId="77777777" w:rsidR="0057153B" w:rsidRDefault="00571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021D8" w14:textId="77777777" w:rsidR="006E4B2A" w:rsidRDefault="00000000">
    <w:pPr>
      <w:pBdr>
        <w:top w:val="single" w:sz="4" w:space="1" w:color="1E3A5F"/>
      </w:pBdr>
      <w:spacing w:before="100"/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3701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3701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AD59" w14:textId="77777777" w:rsidR="0057153B" w:rsidRDefault="0057153B">
      <w:r>
        <w:separator/>
      </w:r>
    </w:p>
  </w:footnote>
  <w:footnote w:type="continuationSeparator" w:id="0">
    <w:p w14:paraId="2AF74D3C" w14:textId="77777777" w:rsidR="0057153B" w:rsidRDefault="00571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E701" w14:textId="77777777" w:rsidR="006E4B2A" w:rsidRDefault="00000000">
    <w:pPr>
      <w:pBdr>
        <w:bottom w:val="single" w:sz="4" w:space="1" w:color="1E3A5F"/>
      </w:pBdr>
      <w:spacing w:after="100"/>
    </w:pPr>
    <w:r>
      <w:rPr>
        <w:color w:val="666666"/>
        <w:sz w:val="18"/>
        <w:szCs w:val="18"/>
      </w:rPr>
      <w:t xml:space="preserve">SFP </w:t>
    </w:r>
    <w:proofErr w:type="spellStart"/>
    <w:r>
      <w:rPr>
        <w:color w:val="666666"/>
        <w:sz w:val="18"/>
        <w:szCs w:val="18"/>
      </w:rPr>
      <w:t>PoC</w:t>
    </w:r>
    <w:proofErr w:type="spellEnd"/>
    <w:r>
      <w:rPr>
        <w:color w:val="666666"/>
        <w:sz w:val="18"/>
        <w:szCs w:val="18"/>
      </w:rPr>
      <w:t xml:space="preserve"> — Abordagens para Segunda Validação   |   </w:t>
    </w:r>
    <w:proofErr w:type="spellStart"/>
    <w:r>
      <w:rPr>
        <w:color w:val="666666"/>
        <w:sz w:val="18"/>
        <w:szCs w:val="18"/>
      </w:rPr>
      <w:t>Venturus</w:t>
    </w:r>
    <w:proofErr w:type="spellEnd"/>
    <w:r>
      <w:rPr>
        <w:color w:val="666666"/>
        <w:sz w:val="18"/>
        <w:szCs w:val="18"/>
      </w:rPr>
      <w:t xml:space="preserve">, </w:t>
    </w:r>
    <w:proofErr w:type="gramStart"/>
    <w:r>
      <w:rPr>
        <w:color w:val="666666"/>
        <w:sz w:val="18"/>
        <w:szCs w:val="18"/>
      </w:rPr>
      <w:t>Junho</w:t>
    </w:r>
    <w:proofErr w:type="gramEnd"/>
    <w:r>
      <w:rPr>
        <w:color w:val="666666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1351D"/>
    <w:multiLevelType w:val="hybridMultilevel"/>
    <w:tmpl w:val="0D06D9B2"/>
    <w:lvl w:ilvl="0" w:tplc="FBF20A32">
      <w:start w:val="1"/>
      <w:numFmt w:val="bullet"/>
      <w:lvlText w:val="●"/>
      <w:lvlJc w:val="left"/>
      <w:pPr>
        <w:ind w:left="720" w:hanging="360"/>
      </w:pPr>
    </w:lvl>
    <w:lvl w:ilvl="1" w:tplc="62FE13DC">
      <w:start w:val="1"/>
      <w:numFmt w:val="bullet"/>
      <w:lvlText w:val="○"/>
      <w:lvlJc w:val="left"/>
      <w:pPr>
        <w:ind w:left="1440" w:hanging="360"/>
      </w:pPr>
    </w:lvl>
    <w:lvl w:ilvl="2" w:tplc="2CAC3D60">
      <w:start w:val="1"/>
      <w:numFmt w:val="bullet"/>
      <w:lvlText w:val="■"/>
      <w:lvlJc w:val="left"/>
      <w:pPr>
        <w:ind w:left="2160" w:hanging="360"/>
      </w:pPr>
    </w:lvl>
    <w:lvl w:ilvl="3" w:tplc="F9C83132">
      <w:start w:val="1"/>
      <w:numFmt w:val="bullet"/>
      <w:lvlText w:val="●"/>
      <w:lvlJc w:val="left"/>
      <w:pPr>
        <w:ind w:left="2880" w:hanging="360"/>
      </w:pPr>
    </w:lvl>
    <w:lvl w:ilvl="4" w:tplc="B2DE5AB6">
      <w:start w:val="1"/>
      <w:numFmt w:val="bullet"/>
      <w:lvlText w:val="○"/>
      <w:lvlJc w:val="left"/>
      <w:pPr>
        <w:ind w:left="3600" w:hanging="360"/>
      </w:pPr>
    </w:lvl>
    <w:lvl w:ilvl="5" w:tplc="58C4F368">
      <w:start w:val="1"/>
      <w:numFmt w:val="bullet"/>
      <w:lvlText w:val="■"/>
      <w:lvlJc w:val="left"/>
      <w:pPr>
        <w:ind w:left="4320" w:hanging="360"/>
      </w:pPr>
    </w:lvl>
    <w:lvl w:ilvl="6" w:tplc="9C9EF792">
      <w:start w:val="1"/>
      <w:numFmt w:val="bullet"/>
      <w:lvlText w:val="●"/>
      <w:lvlJc w:val="left"/>
      <w:pPr>
        <w:ind w:left="5040" w:hanging="360"/>
      </w:pPr>
    </w:lvl>
    <w:lvl w:ilvl="7" w:tplc="1CE848B2">
      <w:start w:val="1"/>
      <w:numFmt w:val="bullet"/>
      <w:lvlText w:val="●"/>
      <w:lvlJc w:val="left"/>
      <w:pPr>
        <w:ind w:left="5760" w:hanging="360"/>
      </w:pPr>
    </w:lvl>
    <w:lvl w:ilvl="8" w:tplc="66288E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C3EDD"/>
    <w:multiLevelType w:val="hybridMultilevel"/>
    <w:tmpl w:val="EBA84E64"/>
    <w:lvl w:ilvl="0" w:tplc="B462A626">
      <w:start w:val="1"/>
      <w:numFmt w:val="bullet"/>
      <w:lvlText w:val="•"/>
      <w:lvlJc w:val="left"/>
      <w:pPr>
        <w:ind w:left="560" w:hanging="280"/>
      </w:pPr>
    </w:lvl>
    <w:lvl w:ilvl="1" w:tplc="AF62DCA0">
      <w:numFmt w:val="decimal"/>
      <w:lvlText w:val=""/>
      <w:lvlJc w:val="left"/>
    </w:lvl>
    <w:lvl w:ilvl="2" w:tplc="71AC5CDE">
      <w:numFmt w:val="decimal"/>
      <w:lvlText w:val=""/>
      <w:lvlJc w:val="left"/>
    </w:lvl>
    <w:lvl w:ilvl="3" w:tplc="0F544684">
      <w:numFmt w:val="decimal"/>
      <w:lvlText w:val=""/>
      <w:lvlJc w:val="left"/>
    </w:lvl>
    <w:lvl w:ilvl="4" w:tplc="A694245C">
      <w:numFmt w:val="decimal"/>
      <w:lvlText w:val=""/>
      <w:lvlJc w:val="left"/>
    </w:lvl>
    <w:lvl w:ilvl="5" w:tplc="387408D8">
      <w:numFmt w:val="decimal"/>
      <w:lvlText w:val=""/>
      <w:lvlJc w:val="left"/>
    </w:lvl>
    <w:lvl w:ilvl="6" w:tplc="C1F461C4">
      <w:numFmt w:val="decimal"/>
      <w:lvlText w:val=""/>
      <w:lvlJc w:val="left"/>
    </w:lvl>
    <w:lvl w:ilvl="7" w:tplc="FF72405C">
      <w:numFmt w:val="decimal"/>
      <w:lvlText w:val=""/>
      <w:lvlJc w:val="left"/>
    </w:lvl>
    <w:lvl w:ilvl="8" w:tplc="939439BE">
      <w:numFmt w:val="decimal"/>
      <w:lvlText w:val=""/>
      <w:lvlJc w:val="left"/>
    </w:lvl>
  </w:abstractNum>
  <w:num w:numId="1" w16cid:durableId="591351944">
    <w:abstractNumId w:val="0"/>
    <w:lvlOverride w:ilvl="0">
      <w:startOverride w:val="1"/>
    </w:lvlOverride>
  </w:num>
  <w:num w:numId="2" w16cid:durableId="488837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2A"/>
    <w:rsid w:val="0057153B"/>
    <w:rsid w:val="006E4B2A"/>
    <w:rsid w:val="0083701C"/>
    <w:rsid w:val="00A05D75"/>
    <w:rsid w:val="00D5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87D6"/>
  <w15:docId w15:val="{32E79620-A74C-4769-B26B-369F3DE6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1E3A5F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1027</Words>
  <Characters>5665</Characters>
  <Application>Microsoft Office Word</Application>
  <DocSecurity>0</DocSecurity>
  <Lines>236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Rinaldini Santos</cp:lastModifiedBy>
  <cp:revision>3</cp:revision>
  <dcterms:created xsi:type="dcterms:W3CDTF">2026-06-23T15:51:00Z</dcterms:created>
  <dcterms:modified xsi:type="dcterms:W3CDTF">2026-07-01T03:21:00Z</dcterms:modified>
</cp:coreProperties>
</file>