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10800"/>
        <w:gridCol w:w="1440"/>
      </w:tblGrid>
      <w:tr>
        <w:tc>
          <w:tcPr>
            <w:tcW w:type="dxa" w:w="4680"/>
            <w:tcBorders>
              <w:top w:val="none"/>
              <w:left w:val="none"/>
              <w:bottom w:val="none"/>
              <w:right w:val="none"/>
              <w:insideH w:val="none"/>
              <w:insideV w:val="none"/>
            </w:tcBorders>
            <w:shd w:val="clear" w:color="auto" w:fill="0F1E3C"/>
            <w:tcMar>
              <w:top w:w="360" w:type="dxa"/>
              <w:start w:w="580" w:type="dxa"/>
              <w:bottom w:w="360" w:type="dxa"/>
              <w:end w:w="0" w:type="dxa"/>
            </w:tcMar>
          </w:tcPr>
          <w:p/>
          <w:p>
            <w:pPr>
              <w:spacing w:before="0" w:after="60"/>
            </w:pPr>
            <w:r>
              <w:rPr>
                <w:b/>
                <w:color w:val="FFFFFF"/>
                <w:sz w:val="44"/>
              </w:rPr>
              <w:t>Fernando Abreu</w:t>
            </w:r>
          </w:p>
          <w:p>
            <w:pPr>
              <w:spacing w:before="0" w:after="50"/>
            </w:pPr>
            <w:r>
              <w:rPr>
                <w:color w:val="ADC4E8"/>
                <w:sz w:val="15"/>
              </w:rPr>
              <w:t>📞 804.773.5483</w:t>
            </w:r>
            <w:r>
              <w:rPr>
                <w:sz w:val="15"/>
              </w:rPr>
              <w:t xml:space="preserve">   </w:t>
            </w:r>
            <w:r>
              <w:rPr>
                <w:color w:val="ADC4E8"/>
                <w:sz w:val="15"/>
              </w:rPr>
              <w:t>fefoabreu@gmail.com</w:t>
            </w:r>
            <w:r>
              <w:rPr>
                <w:sz w:val="15"/>
              </w:rPr>
              <w:t xml:space="preserve">   </w:t>
            </w:r>
            <w:r>
              <w:rPr>
                <w:color w:val="ADC4E8"/>
                <w:sz w:val="15"/>
              </w:rPr>
              <w:t>fefoabreu.me</w:t>
            </w:r>
            <w:r>
              <w:rPr>
                <w:sz w:val="15"/>
              </w:rPr>
              <w:t xml:space="preserve">   </w:t>
            </w:r>
            <w:r>
              <w:rPr>
                <w:color w:val="ADC4E8"/>
                <w:sz w:val="15"/>
              </w:rPr>
              <w:t>github.com/fefoabreu</w:t>
            </w:r>
            <w:r>
              <w:rPr>
                <w:sz w:val="15"/>
              </w:rPr>
              <w:t xml:space="preserve">   </w:t>
            </w:r>
            <w:r>
              <w:rPr>
                <w:color w:val="ADC4E8"/>
                <w:sz w:val="15"/>
              </w:rPr>
              <w:t>linkedin.com/in/fefoabreu</w:t>
            </w:r>
            <w:r>
              <w:rPr>
                <w:sz w:val="15"/>
              </w:rPr>
              <w:t xml:space="preserve">   </w:t>
            </w:r>
            <w:r>
              <w:rPr>
                <w:color w:val="ADC4E8"/>
                <w:sz w:val="15"/>
              </w:rPr>
              <w:t>📍 Richmond, VA</w:t>
            </w:r>
          </w:p>
          <w:p>
            <w:pPr>
              <w:spacing w:before="0" w:after="0"/>
            </w:pPr>
            <w:r>
              <w:rPr>
                <w:color w:val="CCDAF0"/>
                <w:sz w:val="13"/>
              </w:rPr>
              <w:t xml:space="preserve"> PMP </w:t>
            </w:r>
            <w:r>
              <w:rPr>
                <w:sz w:val="13"/>
              </w:rPr>
              <w:t xml:space="preserve"> </w:t>
            </w:r>
            <w:r>
              <w:rPr>
                <w:color w:val="CCDAF0"/>
                <w:sz w:val="13"/>
              </w:rPr>
              <w:t xml:space="preserve"> CSPO </w:t>
            </w:r>
            <w:r>
              <w:rPr>
                <w:sz w:val="13"/>
              </w:rPr>
              <w:t xml:space="preserve"> </w:t>
            </w:r>
            <w:r>
              <w:rPr>
                <w:color w:val="CCDAF0"/>
                <w:sz w:val="13"/>
              </w:rPr>
              <w:t xml:space="preserve"> CSM </w:t>
            </w:r>
            <w:r>
              <w:rPr>
                <w:sz w:val="13"/>
              </w:rPr>
              <w:t xml:space="preserve"> </w:t>
            </w:r>
            <w:r>
              <w:rPr>
                <w:color w:val="CCDAF0"/>
                <w:sz w:val="13"/>
              </w:rPr>
              <w:t xml:space="preserve"> ITIL </w:t>
            </w:r>
            <w:r>
              <w:rPr>
                <w:sz w:val="13"/>
              </w:rPr>
              <w:t xml:space="preserve"> </w:t>
            </w:r>
            <w:r>
              <w:rPr>
                <w:color w:val="CCDAF0"/>
                <w:sz w:val="13"/>
              </w:rPr>
              <w:t xml:space="preserve"> CMMI </w:t>
            </w:r>
            <w:r>
              <w:rPr>
                <w:sz w:val="13"/>
              </w:rPr>
              <w:t xml:space="preserve"> </w:t>
            </w:r>
            <w:r>
              <w:rPr>
                <w:color w:val="CCDAF0"/>
                <w:sz w:val="13"/>
              </w:rPr>
              <w:t xml:space="preserve"> MBA </w:t>
            </w:r>
            <w:r>
              <w:rPr>
                <w:sz w:val="13"/>
              </w:rPr>
              <w:t xml:space="preserve"> </w:t>
            </w:r>
          </w:p>
        </w:tc>
        <w:tc>
          <w:tcPr>
            <w:tcW w:type="dxa" w:w="4680"/>
            <w:tcBorders>
              <w:top w:val="none"/>
              <w:left w:val="none"/>
              <w:bottom w:val="none"/>
              <w:right w:val="none"/>
              <w:insideH w:val="none"/>
              <w:insideV w:val="none"/>
            </w:tcBorders>
            <w:shd w:val="clear" w:color="auto" w:fill="0F1E3C"/>
            <w:tcMar>
              <w:top w:w="200" w:type="dxa"/>
              <w:start w:w="0" w:type="dxa"/>
              <w:bottom w:w="200" w:type="dxa"/>
              <w:end w:w="360" w:type="dxa"/>
            </w:tcMar>
          </w:tcPr>
          <w:p>
            <w:pPr>
              <w:spacing w:before="0" w:after="0"/>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profile.jpg"/>
                          <pic:cNvPicPr/>
                        </pic:nvPicPr>
                        <pic:blipFill>
                          <a:blip r:embed="rId9"/>
                          <a:stretch>
                            <a:fillRect/>
                          </a:stretch>
                        </pic:blipFill>
                        <pic:spPr>
                          <a:xfrm>
                            <a:off x="0" y="0"/>
                            <a:ext cx="822960" cy="822960"/>
                          </a:xfrm>
                          <a:prstGeom prst="rect"/>
                        </pic:spPr>
                      </pic:pic>
                    </a:graphicData>
                  </a:graphic>
                </wp:inline>
              </w:drawing>
            </w:r>
          </w:p>
        </w:tc>
      </w:tr>
    </w:tbl>
    <w:tbl>
      <w:tblPr>
        <w:tblW w:type="auto" w:w="0"/>
        <w:jc w:val="left"/>
        <w:tblLook w:firstColumn="1" w:firstRow="1" w:lastColumn="0" w:lastRow="0" w:noHBand="0" w:noVBand="1" w:val="04A0"/>
      </w:tblPr>
      <w:tblGrid>
        <w:gridCol w:w="8136"/>
        <w:gridCol w:w="4104"/>
      </w:tblGrid>
      <w:tr>
        <w:tc>
          <w:tcPr>
            <w:tcW w:type="dxa" w:w="4680"/>
            <w:tcBorders>
              <w:top w:val="none"/>
              <w:left w:val="none"/>
              <w:bottom w:val="none"/>
              <w:right w:val="none"/>
              <w:insideH w:val="none"/>
              <w:insideV w:val="none"/>
            </w:tcBorders>
            <w:tcMar>
              <w:top w:w="280" w:type="dxa"/>
              <w:start w:w="550" w:type="dxa"/>
              <w:bottom w:w="280" w:type="dxa"/>
              <w:end w:w="360" w:type="dxa"/>
            </w:tcMar>
          </w:tcPr>
          <w:p/>
          <w:p>
            <w:pPr>
              <w:spacing w:before="100" w:after="60"/>
              <w:pBdr>
                <w:bottom w:val="single" w:sz="6" w:color="1E6FD9"/>
              </w:pBdr>
            </w:pPr>
            <w:r>
              <w:rPr>
                <w:b/>
                <w:caps/>
                <w:color w:val="1E6FD9"/>
                <w:sz w:val="13"/>
              </w:rPr>
              <w:t>SUMMARY</w:t>
            </w:r>
          </w:p>
          <w:p>
            <w:pPr>
              <w:spacing w:before="0" w:after="100" w:line="240" w:lineRule="auto"/>
            </w:pPr>
            <w:r>
              <w:rPr>
                <w:i w:val="0"/>
                <w:color w:val="1C2030"/>
                <w:sz w:val="17"/>
              </w:rPr>
              <w:t>25-year IT career with a decade at Microsoft leading Azure Cloud and AI platform delivery for Fortune 500 enterprises. Technical Project Manager rooted on a software engineering background, with deep expertise managing end-to-end delivery of on-prem to cloud implementations, data platform, analytics, and AI initiatives — spanning Azure Data Lake, Databricks, Azure AI, Copilot Studio, Power BI, Dynamics, M365 and Power Platform. Proven ability to coordinate cross-functional teams of data engineers, cloud architects, analysts, and external vendors while translating complex technical programs into the clear executive outcomes as an expert in Agile, SAFe, and hybrid delivery methodologies.</w:t>
            </w:r>
          </w:p>
          <w:p>
            <w:pPr>
              <w:spacing w:before="100" w:after="60"/>
              <w:pBdr>
                <w:bottom w:val="single" w:sz="6" w:color="1E6FD9"/>
              </w:pBdr>
            </w:pPr>
            <w:r>
              <w:rPr>
                <w:b/>
                <w:caps/>
                <w:color w:val="1E6FD9"/>
                <w:sz w:val="13"/>
              </w:rPr>
              <w:t>KEY PROFESSIONAL SKILLS</w:t>
            </w:r>
          </w:p>
          <w:p>
            <w:pPr>
              <w:pStyle w:val="ListBullet"/>
              <w:spacing w:before="0" w:after="40" w:line="234" w:lineRule="auto"/>
            </w:pPr>
            <w:r>
              <w:rPr>
                <w:b/>
                <w:color w:val="0F1E3C"/>
                <w:sz w:val="16"/>
              </w:rPr>
              <w:t xml:space="preserve">Azure Cloud, Data &amp; AI Platform Delivery: </w:t>
            </w:r>
            <w:r>
              <w:rPr>
                <w:color w:val="1C2030"/>
                <w:sz w:val="16"/>
              </w:rPr>
              <w:t>10 years at Microsoft managing Azure Cloud modernization and AI implementation programs for Fortune 500 clients. Hands-on experience designing and governing Azure Cloud, Data and AI — including Databricks partnerships, Azure AI and Copilot Studio deployments, and enterprise migrations from Tableau to Power BI. End-to-end project lifecycle ownership: scope, schedule, budget, RAID Log, stakeholder communication, and delivery governance aligned to enterprise data architecture and security standards.</w:t>
            </w:r>
          </w:p>
          <w:p>
            <w:pPr>
              <w:pStyle w:val="ListBullet"/>
              <w:spacing w:before="0" w:after="40" w:line="234" w:lineRule="auto"/>
            </w:pPr>
            <w:r>
              <w:rPr>
                <w:b/>
                <w:color w:val="0F1E3C"/>
                <w:sz w:val="16"/>
              </w:rPr>
              <w:t xml:space="preserve">Cross-Functional Teams Leadership: </w:t>
            </w:r>
            <w:r>
              <w:rPr>
                <w:color w:val="1C2030"/>
                <w:sz w:val="16"/>
              </w:rPr>
              <w:t>Coordinates and orchestrates delivery teams across data engineers, cloud architects, analytics leads, business analysts, and external vendors. Champions buy-in from collaborating organizations on solution approach, architecture decisions, and delivery plans. Full-cycle hands-on oversight from presales through production deployment, using Azure DevOps and ServiceNow as primary project and Agile tooling across Scrum, SAFe, and hybrid delivery models.</w:t>
            </w:r>
          </w:p>
          <w:p>
            <w:pPr>
              <w:pStyle w:val="ListBullet"/>
              <w:spacing w:before="0" w:after="40" w:line="234" w:lineRule="auto"/>
            </w:pPr>
            <w:r>
              <w:rPr>
                <w:b/>
                <w:color w:val="0F1E3C"/>
                <w:sz w:val="16"/>
              </w:rPr>
              <w:t xml:space="preserve">Stakeholder Management &amp; Program Governance: </w:t>
            </w:r>
            <w:r>
              <w:rPr>
                <w:color w:val="1C2030"/>
                <w:sz w:val="16"/>
              </w:rPr>
              <w:t>Translates complex technical concepts into clear, actionable updates for executive and business stakeholders. Develops and manages project plans, milestones, dependencies, and budgets; proactively manages risks, issues, and change requests. Tracks OKRs, KPIs, and delivery health metrics in Monthly Business Reviews. Workflow leveraging AI Companion agents (Delivery, Pursuit, Sales) to drive portfolio-wide data-driven monitoring and accelerated issue resolution.</w:t>
            </w:r>
          </w:p>
          <w:p>
            <w:pPr>
              <w:spacing w:before="100" w:after="60"/>
              <w:pBdr>
                <w:bottom w:val="single" w:sz="6" w:color="1E6FD9"/>
              </w:pBdr>
            </w:pPr>
            <w:r>
              <w:rPr>
                <w:b/>
                <w:caps/>
                <w:color w:val="1E6FD9"/>
                <w:sz w:val="13"/>
              </w:rPr>
              <w:t>KEY ACTIVITIES &amp; PROGRAMS</w:t>
            </w:r>
          </w:p>
          <w:p>
            <w:pPr>
              <w:spacing w:before="0" w:after="50" w:line="234" w:lineRule="auto"/>
            </w:pPr>
            <w:r>
              <w:rPr>
                <w:b/>
                <w:color w:val="0F1E3C"/>
                <w:sz w:val="16"/>
              </w:rPr>
              <w:t xml:space="preserve">Azure Platform &amp; Analytics Program Delivery: </w:t>
            </w:r>
            <w:r>
              <w:rPr>
                <w:color w:val="1C2030"/>
                <w:sz w:val="16"/>
              </w:rPr>
              <w:t>Plan and manage end-to-end delivery of Azure data platform, analytics, and AI initiatives — from roadmap and WBS through stakeholder sign-off and go-live. Governed Azure Data Lake and Databricks implementations, Power BI adoption programs, and enterprise Tableau decommissioning projects at ExxonMobil, GM, and Press Ganey.</w:t>
            </w:r>
          </w:p>
          <w:p>
            <w:pPr>
              <w:spacing w:before="0" w:after="50" w:line="234" w:lineRule="auto"/>
            </w:pPr>
            <w:r>
              <w:rPr>
                <w:b/>
                <w:color w:val="0F1E3C"/>
                <w:sz w:val="16"/>
              </w:rPr>
              <w:t xml:space="preserve">Agile &amp; Hybrid Delivery Execution: </w:t>
            </w:r>
            <w:r>
              <w:rPr>
                <w:color w:val="1C2030"/>
                <w:sz w:val="16"/>
              </w:rPr>
              <w:t>Drives delivery cadence across Scrum, SAFe, and hybrid models using Azure DevOps and ServiceNow. Manages sprint planning, backlog grooming, milestone tracking, dependency mapping, and velocity reporting for multi-track data engineering and analytics workstreams.</w:t>
            </w:r>
          </w:p>
          <w:p>
            <w:pPr>
              <w:spacing w:before="0" w:after="50" w:line="234" w:lineRule="auto"/>
            </w:pPr>
            <w:r>
              <w:rPr>
                <w:b/>
                <w:color w:val="0F1E3C"/>
                <w:sz w:val="16"/>
              </w:rPr>
              <w:t xml:space="preserve">Risk, Governance &amp; Automation: </w:t>
            </w:r>
            <w:r>
              <w:rPr>
                <w:color w:val="1C2030"/>
                <w:sz w:val="16"/>
              </w:rPr>
              <w:t>Proactively identifies and manages delivery risks, issues, and change requests against enterprise data architecture, governance, and security standards. Incorporates Agentic AI-based risk assessment and automation tooling to reduce manual overhead, surface patterns early, and accelerate resolution across program portfolios.</w:t>
            </w:r>
          </w:p>
          <w:p>
            <w:pPr>
              <w:spacing w:before="0" w:after="50" w:line="234" w:lineRule="auto"/>
            </w:pPr>
            <w:r>
              <w:rPr>
                <w:b/>
                <w:color w:val="0F1E3C"/>
                <w:sz w:val="16"/>
              </w:rPr>
              <w:t xml:space="preserve">Pursuit Leadership &amp; Go-to-Market: </w:t>
            </w:r>
            <w:r>
              <w:rPr>
                <w:color w:val="1C2030"/>
                <w:sz w:val="16"/>
              </w:rPr>
              <w:t>Intake, design, and approval of consulting solutions driving deal velocity through technical proposals, WBS, staffing plans, pricing models, Statements of Work, Work Orders, and Amendments. Manages P&amp;L health, financial forecasting, and customer satisfaction metrics alongside sales and delivery executives.</w:t>
            </w:r>
          </w:p>
        </w:tc>
        <w:tc>
          <w:tcPr>
            <w:tcW w:type="dxa" w:w="4680"/>
            <w:tcBorders>
              <w:top w:val="none"/>
              <w:left w:val="none"/>
              <w:bottom w:val="none"/>
              <w:right w:val="none"/>
              <w:insideH w:val="none"/>
              <w:insideV w:val="none"/>
            </w:tcBorders>
            <w:shd w:val="clear" w:color="auto" w:fill="EEF4FD"/>
            <w:tcMar>
              <w:top w:w="280" w:type="dxa"/>
              <w:start w:w="310" w:type="dxa"/>
              <w:bottom w:w="280" w:type="dxa"/>
              <w:end w:w="310" w:type="dxa"/>
            </w:tcMar>
          </w:tcPr>
          <w:p/>
          <w:p>
            <w:pPr>
              <w:spacing w:before="100" w:after="60"/>
              <w:pBdr>
                <w:bottom w:val="single" w:sz="6" w:color="1E6FD9"/>
              </w:pBdr>
            </w:pPr>
            <w:r>
              <w:rPr>
                <w:b/>
                <w:caps/>
                <w:color w:val="1E6FD9"/>
                <w:sz w:val="13"/>
              </w:rPr>
              <w:t>KEY ACHIEVEMENTS</w:t>
            </w:r>
          </w:p>
          <w:p>
            <w:pPr>
              <w:spacing w:before="0" w:after="60" w:line="234" w:lineRule="auto"/>
            </w:pPr>
            <w:r>
              <w:rPr>
                <w:color w:val="C8A96E"/>
                <w:sz w:val="16"/>
              </w:rPr>
              <w:t xml:space="preserve">★  </w:t>
            </w:r>
            <w:r>
              <w:rPr>
                <w:color w:val="1C2030"/>
                <w:sz w:val="15"/>
              </w:rPr>
              <w:t>Azure Cloud, M365, Dynamics, and AI Implementation Programs for Fortune 500 clients over 10 years at Microsoft Professional Services</w:t>
            </w:r>
          </w:p>
          <w:p>
            <w:pPr>
              <w:spacing w:before="0" w:after="60" w:line="234" w:lineRule="auto"/>
            </w:pPr>
            <w:r>
              <w:rPr>
                <w:color w:val="C8A96E"/>
                <w:sz w:val="16"/>
              </w:rPr>
              <w:t xml:space="preserve">★  </w:t>
            </w:r>
            <w:r>
              <w:rPr>
                <w:color w:val="1C2030"/>
                <w:sz w:val="15"/>
              </w:rPr>
              <w:t>Workflow leveraging AI Companion agents (Delivery, Pursuit, Sales) for portfolio-wide monitoring and data-driven decision-making</w:t>
            </w:r>
          </w:p>
          <w:p>
            <w:pPr>
              <w:spacing w:before="0" w:after="60" w:line="234" w:lineRule="auto"/>
            </w:pPr>
            <w:r>
              <w:rPr>
                <w:color w:val="C8A96E"/>
                <w:sz w:val="16"/>
              </w:rPr>
              <w:t xml:space="preserve">★  </w:t>
            </w:r>
            <w:r>
              <w:rPr>
                <w:color w:val="1C2030"/>
                <w:sz w:val="15"/>
              </w:rPr>
              <w:t>Solution design and delivery oversight of Azure Data Lake + Databricks platform at ExxonMobil and GM, including enterprise Tableau-to-Power BI analytics migration</w:t>
            </w:r>
          </w:p>
          <w:p>
            <w:pPr>
              <w:spacing w:before="0" w:after="60" w:line="234" w:lineRule="auto"/>
            </w:pPr>
            <w:r>
              <w:rPr>
                <w:color w:val="C8A96E"/>
                <w:sz w:val="16"/>
              </w:rPr>
              <w:t xml:space="preserve">★  </w:t>
            </w:r>
            <w:r>
              <w:rPr>
                <w:color w:val="1C2030"/>
                <w:sz w:val="15"/>
              </w:rPr>
              <w:t>Founded Scrum-Agile App Dev Practice at Dexian-Disys from zero — delivering for USPS, ExxonMobil, Schlumberger &amp; HangIt</w:t>
            </w:r>
          </w:p>
          <w:p>
            <w:pPr>
              <w:spacing w:before="100" w:after="60"/>
              <w:pBdr>
                <w:bottom w:val="single" w:sz="6" w:color="1E6FD9"/>
              </w:pBdr>
            </w:pPr>
            <w:r>
              <w:rPr>
                <w:b/>
                <w:caps/>
                <w:color w:val="1E6FD9"/>
                <w:sz w:val="13"/>
              </w:rPr>
              <w:t>SKILLS</w:t>
            </w:r>
          </w:p>
          <w:p>
            <w:pPr>
              <w:spacing w:before="40" w:after="20"/>
            </w:pPr>
            <w:r>
              <w:rPr>
                <w:b/>
                <w:color w:val="1E6FD9"/>
                <w:sz w:val="13"/>
              </w:rPr>
              <w:t>Practices</w:t>
            </w:r>
          </w:p>
          <w:p>
            <w:pPr>
              <w:spacing w:before="0" w:after="30"/>
            </w:pPr>
            <w:r>
              <w:rPr>
                <w:color w:val="0F1E3C"/>
                <w:sz w:val="14"/>
              </w:rPr>
              <w:t>[Agile / Scrum]</w:t>
            </w:r>
            <w:r>
              <w:rPr>
                <w:sz w:val="14"/>
              </w:rPr>
              <w:t xml:space="preserve">  </w:t>
            </w:r>
            <w:r>
              <w:rPr>
                <w:color w:val="0F1E3C"/>
                <w:sz w:val="14"/>
              </w:rPr>
              <w:t>[SAFe]</w:t>
            </w:r>
            <w:r>
              <w:rPr>
                <w:sz w:val="14"/>
              </w:rPr>
              <w:t xml:space="preserve">  </w:t>
            </w:r>
            <w:r>
              <w:rPr>
                <w:color w:val="0F1E3C"/>
                <w:sz w:val="14"/>
              </w:rPr>
              <w:t>[PMO Methodology]</w:t>
            </w:r>
            <w:r>
              <w:rPr>
                <w:sz w:val="14"/>
              </w:rPr>
              <w:t xml:space="preserve">  </w:t>
            </w:r>
            <w:r>
              <w:rPr>
                <w:color w:val="0F1E3C"/>
                <w:sz w:val="14"/>
              </w:rPr>
              <w:t>[SDLC]</w:t>
            </w:r>
            <w:r>
              <w:rPr>
                <w:sz w:val="14"/>
              </w:rPr>
              <w:t xml:space="preserve">  </w:t>
            </w:r>
            <w:r>
              <w:rPr>
                <w:color w:val="0F1E3C"/>
                <w:sz w:val="14"/>
              </w:rPr>
              <w:t>[CMMI]</w:t>
            </w:r>
            <w:r>
              <w:rPr>
                <w:sz w:val="14"/>
              </w:rPr>
              <w:t xml:space="preserve">  </w:t>
            </w:r>
            <w:r>
              <w:rPr>
                <w:color w:val="0F1E3C"/>
                <w:sz w:val="14"/>
              </w:rPr>
              <w:t>[DevOps]</w:t>
            </w:r>
          </w:p>
          <w:p>
            <w:pPr>
              <w:spacing w:before="60" w:after="20"/>
            </w:pPr>
            <w:r>
              <w:rPr>
                <w:b/>
                <w:color w:val="1E6FD9"/>
                <w:sz w:val="13"/>
              </w:rPr>
              <w:t>Azure &amp; Cloud</w:t>
            </w:r>
          </w:p>
          <w:p>
            <w:pPr>
              <w:spacing w:before="0" w:after="30"/>
            </w:pPr>
            <w:r>
              <w:rPr>
                <w:color w:val="0F1E3C"/>
                <w:sz w:val="14"/>
              </w:rPr>
              <w:t>[Azure Cloud Adoption]</w:t>
            </w:r>
            <w:r>
              <w:rPr>
                <w:sz w:val="14"/>
              </w:rPr>
              <w:t xml:space="preserve">  </w:t>
            </w:r>
            <w:r>
              <w:rPr>
                <w:color w:val="0F1E3C"/>
                <w:sz w:val="14"/>
              </w:rPr>
              <w:t>[Azure AI]</w:t>
            </w:r>
            <w:r>
              <w:rPr>
                <w:sz w:val="14"/>
              </w:rPr>
              <w:t xml:space="preserve">  </w:t>
            </w:r>
            <w:r>
              <w:rPr>
                <w:color w:val="0F1E3C"/>
                <w:sz w:val="14"/>
              </w:rPr>
              <w:t>[Copilot Studio]</w:t>
            </w:r>
            <w:r>
              <w:rPr>
                <w:sz w:val="14"/>
              </w:rPr>
              <w:t xml:space="preserve">  </w:t>
            </w:r>
            <w:r>
              <w:rPr>
                <w:color w:val="0F1E3C"/>
                <w:sz w:val="14"/>
              </w:rPr>
              <w:t>[Claude Code]</w:t>
            </w:r>
            <w:r>
              <w:rPr>
                <w:sz w:val="14"/>
              </w:rPr>
              <w:t xml:space="preserve">  </w:t>
            </w:r>
            <w:r>
              <w:rPr>
                <w:color w:val="0F1E3C"/>
                <w:sz w:val="14"/>
              </w:rPr>
              <w:t>[Azure DevOps]</w:t>
            </w:r>
          </w:p>
          <w:p>
            <w:pPr>
              <w:spacing w:before="60" w:after="20"/>
            </w:pPr>
            <w:r>
              <w:rPr>
                <w:b/>
                <w:color w:val="1E6FD9"/>
                <w:sz w:val="13"/>
              </w:rPr>
              <w:t>Data &amp; Analytics</w:t>
            </w:r>
          </w:p>
          <w:p>
            <w:pPr>
              <w:spacing w:before="0" w:after="30"/>
            </w:pPr>
            <w:r>
              <w:rPr>
                <w:color w:val="0F1E3C"/>
                <w:sz w:val="14"/>
              </w:rPr>
              <w:t>[Databricks]</w:t>
            </w:r>
            <w:r>
              <w:rPr>
                <w:sz w:val="14"/>
              </w:rPr>
              <w:t xml:space="preserve">  </w:t>
            </w:r>
            <w:r>
              <w:rPr>
                <w:color w:val="0F1E3C"/>
                <w:sz w:val="14"/>
              </w:rPr>
              <w:t>[Azure Data Lake]</w:t>
            </w:r>
            <w:r>
              <w:rPr>
                <w:sz w:val="14"/>
              </w:rPr>
              <w:t xml:space="preserve">  </w:t>
            </w:r>
            <w:r>
              <w:rPr>
                <w:color w:val="0F1E3C"/>
                <w:sz w:val="14"/>
              </w:rPr>
              <w:t>[Dataverse]</w:t>
            </w:r>
            <w:r>
              <w:rPr>
                <w:sz w:val="14"/>
              </w:rPr>
              <w:t xml:space="preserve">  </w:t>
            </w:r>
            <w:r>
              <w:rPr>
                <w:color w:val="0F1E3C"/>
                <w:sz w:val="14"/>
              </w:rPr>
              <w:t>[Power BI]</w:t>
            </w:r>
            <w:r>
              <w:rPr>
                <w:sz w:val="14"/>
              </w:rPr>
              <w:t xml:space="preserve">  </w:t>
            </w:r>
            <w:r>
              <w:rPr>
                <w:color w:val="0F1E3C"/>
                <w:sz w:val="14"/>
              </w:rPr>
              <w:t>[Data Governance]</w:t>
            </w:r>
            <w:r>
              <w:rPr>
                <w:sz w:val="14"/>
              </w:rPr>
              <w:t xml:space="preserve">  </w:t>
            </w:r>
            <w:r>
              <w:rPr>
                <w:color w:val="0F1E3C"/>
                <w:sz w:val="14"/>
              </w:rPr>
              <w:t>[ServiceNow]</w:t>
            </w:r>
          </w:p>
          <w:p>
            <w:pPr>
              <w:spacing w:before="60" w:after="20"/>
            </w:pPr>
            <w:r>
              <w:rPr>
                <w:b/>
                <w:color w:val="1E6FD9"/>
                <w:sz w:val="13"/>
              </w:rPr>
              <w:t>Leadership</w:t>
            </w:r>
          </w:p>
          <w:p>
            <w:pPr>
              <w:spacing w:before="0" w:after="30"/>
            </w:pPr>
            <w:r>
              <w:rPr>
                <w:color w:val="0F1E3C"/>
                <w:sz w:val="14"/>
              </w:rPr>
              <w:t>[Cross-Functional Orchestration]</w:t>
            </w:r>
            <w:r>
              <w:rPr>
                <w:sz w:val="14"/>
              </w:rPr>
              <w:t xml:space="preserve">  </w:t>
            </w:r>
            <w:r>
              <w:rPr>
                <w:color w:val="0F1E3C"/>
                <w:sz w:val="14"/>
              </w:rPr>
              <w:t>[Stakeholder Management]</w:t>
            </w:r>
            <w:r>
              <w:rPr>
                <w:sz w:val="14"/>
              </w:rPr>
              <w:t xml:space="preserve">  </w:t>
            </w:r>
            <w:r>
              <w:rPr>
                <w:color w:val="0F1E3C"/>
                <w:sz w:val="14"/>
              </w:rPr>
              <w:t>[Change Management]</w:t>
            </w:r>
            <w:r>
              <w:rPr>
                <w:sz w:val="14"/>
              </w:rPr>
              <w:t xml:space="preserve">  </w:t>
            </w:r>
            <w:r>
              <w:rPr>
                <w:color w:val="0F1E3C"/>
                <w:sz w:val="14"/>
              </w:rPr>
              <w:t>[Risk Management]</w:t>
            </w:r>
            <w:r>
              <w:rPr>
                <w:sz w:val="14"/>
              </w:rPr>
              <w:t xml:space="preserve">  </w:t>
            </w:r>
            <w:r>
              <w:rPr>
                <w:color w:val="0F1E3C"/>
                <w:sz w:val="14"/>
              </w:rPr>
              <w:t>[Quality Assurance]</w:t>
            </w:r>
          </w:p>
          <w:p>
            <w:pPr>
              <w:spacing w:before="60" w:after="20"/>
            </w:pPr>
            <w:r>
              <w:rPr>
                <w:b/>
                <w:color w:val="1E6FD9"/>
                <w:sz w:val="13"/>
              </w:rPr>
              <w:t>Business</w:t>
            </w:r>
          </w:p>
          <w:p>
            <w:pPr>
              <w:spacing w:before="0" w:after="30"/>
            </w:pPr>
            <w:r>
              <w:rPr>
                <w:color w:val="0F1E3C"/>
                <w:sz w:val="14"/>
              </w:rPr>
              <w:t>[Technical Presales]</w:t>
            </w:r>
            <w:r>
              <w:rPr>
                <w:sz w:val="14"/>
              </w:rPr>
              <w:t xml:space="preserve">  </w:t>
            </w:r>
            <w:r>
              <w:rPr>
                <w:color w:val="0F1E3C"/>
                <w:sz w:val="14"/>
              </w:rPr>
              <w:t>[Portfolio Management]</w:t>
            </w:r>
            <w:r>
              <w:rPr>
                <w:sz w:val="14"/>
              </w:rPr>
              <w:t xml:space="preserve">  </w:t>
            </w:r>
            <w:r>
              <w:rPr>
                <w:color w:val="0F1E3C"/>
                <w:sz w:val="14"/>
              </w:rPr>
              <w:t>[Complex Deal Governance]</w:t>
            </w:r>
            <w:r>
              <w:rPr>
                <w:sz w:val="14"/>
              </w:rPr>
              <w:t xml:space="preserve">  </w:t>
            </w:r>
            <w:r>
              <w:rPr>
                <w:color w:val="0F1E3C"/>
                <w:sz w:val="14"/>
              </w:rPr>
              <w:t>[SOW Design]</w:t>
            </w:r>
          </w:p>
          <w:p>
            <w:pPr>
              <w:spacing w:before="100" w:after="60"/>
              <w:pBdr>
                <w:bottom w:val="single" w:sz="6" w:color="1E6FD9"/>
              </w:pBdr>
            </w:pPr>
            <w:r>
              <w:rPr>
                <w:b/>
                <w:caps/>
                <w:color w:val="1E6FD9"/>
                <w:sz w:val="13"/>
              </w:rPr>
              <w:t>ANCHOR ACCOUNTS</w:t>
            </w:r>
          </w:p>
          <w:p>
            <w:pPr>
              <w:spacing w:before="0" w:after="30"/>
            </w:pPr>
            <w:r>
              <w:rPr>
                <w:color w:val="0F1E3C"/>
                <w:sz w:val="14"/>
              </w:rPr>
              <w:t>[AT&amp;T]</w:t>
            </w:r>
            <w:r>
              <w:rPr>
                <w:sz w:val="14"/>
              </w:rPr>
              <w:t xml:space="preserve">  </w:t>
            </w:r>
            <w:r>
              <w:rPr>
                <w:color w:val="0F1E3C"/>
                <w:sz w:val="14"/>
              </w:rPr>
              <w:t>[AWS]</w:t>
            </w:r>
            <w:r>
              <w:rPr>
                <w:sz w:val="14"/>
              </w:rPr>
              <w:t xml:space="preserve">  </w:t>
            </w:r>
            <w:r>
              <w:rPr>
                <w:color w:val="0F1E3C"/>
                <w:sz w:val="14"/>
              </w:rPr>
              <w:t>[Chevron]</w:t>
            </w:r>
            <w:r>
              <w:rPr>
                <w:sz w:val="14"/>
              </w:rPr>
              <w:t xml:space="preserve">  </w:t>
            </w:r>
            <w:r>
              <w:rPr>
                <w:color w:val="0F1E3C"/>
                <w:sz w:val="14"/>
              </w:rPr>
              <w:t>[Coca-Cola]</w:t>
            </w:r>
            <w:r>
              <w:rPr>
                <w:sz w:val="14"/>
              </w:rPr>
              <w:t xml:space="preserve">  </w:t>
            </w:r>
            <w:r>
              <w:rPr>
                <w:color w:val="0F1E3C"/>
                <w:sz w:val="14"/>
              </w:rPr>
              <w:t>[Constellation]</w:t>
            </w:r>
            <w:r>
              <w:rPr>
                <w:sz w:val="14"/>
              </w:rPr>
              <w:t xml:space="preserve">  </w:t>
            </w:r>
            <w:r>
              <w:rPr>
                <w:color w:val="0F1E3C"/>
                <w:sz w:val="14"/>
              </w:rPr>
              <w:t>[Disney]</w:t>
            </w:r>
            <w:r>
              <w:rPr>
                <w:sz w:val="14"/>
              </w:rPr>
              <w:t xml:space="preserve">  </w:t>
            </w:r>
            <w:r>
              <w:rPr>
                <w:color w:val="0F1E3C"/>
                <w:sz w:val="14"/>
              </w:rPr>
              <w:t>[Domino's]</w:t>
            </w:r>
            <w:r>
              <w:rPr>
                <w:sz w:val="14"/>
              </w:rPr>
              <w:t xml:space="preserve">  </w:t>
            </w:r>
            <w:r>
              <w:rPr>
                <w:color w:val="0F1E3C"/>
                <w:sz w:val="14"/>
              </w:rPr>
              <w:t>[Electronic Arts]</w:t>
            </w:r>
            <w:r>
              <w:rPr>
                <w:sz w:val="14"/>
              </w:rPr>
              <w:t xml:space="preserve">  </w:t>
            </w:r>
            <w:r>
              <w:rPr>
                <w:color w:val="0F1E3C"/>
                <w:sz w:val="14"/>
              </w:rPr>
              <w:t>[ExxonMobil]</w:t>
            </w:r>
            <w:r>
              <w:rPr>
                <w:sz w:val="14"/>
              </w:rPr>
              <w:t xml:space="preserve">  </w:t>
            </w:r>
            <w:r>
              <w:rPr>
                <w:color w:val="0F1E3C"/>
                <w:sz w:val="14"/>
              </w:rPr>
              <w:t>[FedEx]</w:t>
            </w:r>
            <w:r>
              <w:rPr>
                <w:sz w:val="14"/>
              </w:rPr>
              <w:t xml:space="preserve">  </w:t>
            </w:r>
            <w:r>
              <w:rPr>
                <w:color w:val="0F1E3C"/>
                <w:sz w:val="14"/>
              </w:rPr>
              <w:t>[Ford]</w:t>
            </w:r>
            <w:r>
              <w:rPr>
                <w:sz w:val="14"/>
              </w:rPr>
              <w:t xml:space="preserve">  </w:t>
            </w:r>
            <w:r>
              <w:rPr>
                <w:color w:val="0F1E3C"/>
                <w:sz w:val="14"/>
              </w:rPr>
              <w:t>[GM-Cruise]</w:t>
            </w:r>
            <w:r>
              <w:rPr>
                <w:sz w:val="14"/>
              </w:rPr>
              <w:t xml:space="preserve">  </w:t>
            </w:r>
            <w:r>
              <w:rPr>
                <w:color w:val="0F1E3C"/>
                <w:sz w:val="14"/>
              </w:rPr>
              <w:t>[HangIt]</w:t>
            </w:r>
            <w:r>
              <w:rPr>
                <w:sz w:val="14"/>
              </w:rPr>
              <w:t xml:space="preserve">  </w:t>
            </w:r>
            <w:r>
              <w:rPr>
                <w:color w:val="0F1E3C"/>
                <w:sz w:val="14"/>
              </w:rPr>
              <w:t>[Lumen]</w:t>
            </w:r>
            <w:r>
              <w:rPr>
                <w:sz w:val="14"/>
              </w:rPr>
              <w:t xml:space="preserve">  </w:t>
            </w:r>
            <w:r>
              <w:rPr>
                <w:color w:val="0F1E3C"/>
                <w:sz w:val="14"/>
              </w:rPr>
              <w:t>[Manpower]</w:t>
            </w:r>
            <w:r>
              <w:rPr>
                <w:sz w:val="14"/>
              </w:rPr>
              <w:t xml:space="preserve">  </w:t>
            </w:r>
            <w:r>
              <w:rPr>
                <w:color w:val="0F1E3C"/>
                <w:sz w:val="14"/>
              </w:rPr>
              <w:t>[NBA]</w:t>
            </w:r>
            <w:r>
              <w:rPr>
                <w:sz w:val="14"/>
              </w:rPr>
              <w:t xml:space="preserve">  </w:t>
            </w:r>
            <w:r>
              <w:rPr>
                <w:color w:val="0F1E3C"/>
                <w:sz w:val="14"/>
              </w:rPr>
              <w:t>[NFL]</w:t>
            </w:r>
            <w:r>
              <w:rPr>
                <w:sz w:val="14"/>
              </w:rPr>
              <w:t xml:space="preserve">  </w:t>
            </w:r>
            <w:r>
              <w:rPr>
                <w:color w:val="0F1E3C"/>
                <w:sz w:val="14"/>
              </w:rPr>
              <w:t>[Nike]</w:t>
            </w:r>
            <w:r>
              <w:rPr>
                <w:sz w:val="14"/>
              </w:rPr>
              <w:t xml:space="preserve">  </w:t>
            </w:r>
            <w:r>
              <w:rPr>
                <w:color w:val="0F1E3C"/>
                <w:sz w:val="14"/>
              </w:rPr>
              <w:t>[Pepsico]</w:t>
            </w:r>
            <w:r>
              <w:rPr>
                <w:sz w:val="14"/>
              </w:rPr>
              <w:t xml:space="preserve">  </w:t>
            </w:r>
            <w:r>
              <w:rPr>
                <w:color w:val="0F1E3C"/>
                <w:sz w:val="14"/>
              </w:rPr>
              <w:t>[Press Ganey]</w:t>
            </w:r>
            <w:r>
              <w:rPr>
                <w:sz w:val="14"/>
              </w:rPr>
              <w:t xml:space="preserve">  </w:t>
            </w:r>
            <w:r>
              <w:rPr>
                <w:color w:val="0F1E3C"/>
                <w:sz w:val="14"/>
              </w:rPr>
              <w:t>[T-Mobile]</w:t>
            </w:r>
            <w:r>
              <w:rPr>
                <w:sz w:val="14"/>
              </w:rPr>
              <w:t xml:space="preserve">  </w:t>
            </w:r>
            <w:r>
              <w:rPr>
                <w:color w:val="0F1E3C"/>
                <w:sz w:val="14"/>
              </w:rPr>
              <w:t>[The GAP]</w:t>
            </w:r>
            <w:r>
              <w:rPr>
                <w:sz w:val="14"/>
              </w:rPr>
              <w:t xml:space="preserve">  </w:t>
            </w:r>
            <w:r>
              <w:rPr>
                <w:color w:val="0F1E3C"/>
                <w:sz w:val="14"/>
              </w:rPr>
              <w:t>[Verizon]</w:t>
            </w:r>
            <w:r>
              <w:rPr>
                <w:sz w:val="14"/>
              </w:rPr>
              <w:t xml:space="preserve">  </w:t>
            </w:r>
            <w:r>
              <w:rPr>
                <w:color w:val="0F1E3C"/>
                <w:sz w:val="14"/>
              </w:rPr>
              <w:t>[WarnerBros.]</w:t>
            </w:r>
          </w:p>
        </w:tc>
      </w:tr>
    </w:tbl>
    <w:p>
      <w:r>
        <w:br w:type="page"/>
      </w:r>
    </w:p>
    <w:tbl>
      <w:tblPr>
        <w:tblW w:type="auto" w:w="0"/>
        <w:jc w:val="left"/>
        <w:tblLook w:firstColumn="1" w:firstRow="1" w:lastColumn="0" w:lastRow="0" w:noHBand="0" w:noVBand="1" w:val="04A0"/>
      </w:tblPr>
      <w:tblGrid>
        <w:gridCol w:w="8136"/>
        <w:gridCol w:w="4104"/>
      </w:tblGrid>
      <w:tr>
        <w:tc>
          <w:tcPr>
            <w:tcW w:type="dxa" w:w="4680"/>
            <w:tcBorders>
              <w:top w:val="none"/>
              <w:left w:val="none"/>
              <w:bottom w:val="none"/>
              <w:right w:val="none"/>
              <w:insideH w:val="none"/>
              <w:insideV w:val="none"/>
            </w:tcBorders>
            <w:tcMar>
              <w:top w:w="280" w:type="dxa"/>
              <w:start w:w="550" w:type="dxa"/>
              <w:bottom w:w="280" w:type="dxa"/>
              <w:end w:w="360" w:type="dxa"/>
            </w:tcMar>
          </w:tcPr>
          <w:p/>
          <w:p>
            <w:pPr>
              <w:spacing w:before="100" w:after="60"/>
              <w:pBdr>
                <w:bottom w:val="single" w:sz="6" w:color="1E6FD9"/>
              </w:pBdr>
            </w:pPr>
            <w:r>
              <w:rPr>
                <w:b/>
                <w:caps/>
                <w:color w:val="1E6FD9"/>
                <w:sz w:val="13"/>
              </w:rPr>
              <w:t>CAREER JOURNEY</w:t>
            </w:r>
          </w:p>
          <w:p>
            <w:pPr>
              <w:spacing w:before="120" w:after="20"/>
            </w:pPr>
            <w:r>
              <w:rPr>
                <w:b/>
                <w:color w:val="0F1E3C"/>
                <w:sz w:val="22"/>
              </w:rPr>
              <w:t>Microsoft</w:t>
            </w:r>
            <w:r>
              <w:rPr>
                <w:b/>
                <w:color w:val="1E6FD9"/>
                <w:sz w:val="17"/>
              </w:rPr>
              <w:t xml:space="preserve">  · 10 years</w:t>
            </w:r>
            <w:r>
              <w:rPr>
                <w:color w:val="6B7280"/>
                <w:sz w:val="16"/>
              </w:rPr>
              <w:t xml:space="preserve">                                        July 2016 – Present</w:t>
            </w:r>
          </w:p>
          <w:p>
            <w:pPr>
              <w:spacing w:before="0" w:after="40"/>
            </w:pPr>
            <w:r>
              <w:rPr>
                <w:b/>
                <w:color w:val="1C2030"/>
                <w:sz w:val="17"/>
              </w:rPr>
              <w:t>Technical Project Manager · Azure Cloud &amp; AI Professional Services</w:t>
            </w:r>
            <w:r>
              <w:rPr>
                <w:color w:val="6B7280"/>
                <w:sz w:val="16"/>
              </w:rPr>
              <w:t xml:space="preserve">  ·  Richmond, VA</w:t>
            </w:r>
          </w:p>
          <w:p>
            <w:pPr>
              <w:spacing w:before="0" w:after="80" w:line="240" w:lineRule="auto"/>
            </w:pPr>
            <w:r>
              <w:rPr>
                <w:color w:val="1C2030"/>
                <w:sz w:val="17"/>
              </w:rPr>
              <w:t>Led end-to-end technical project management of Azure data platform, analytics, and AI initiatives for Fortune 500 clients. Governed Azure Data Lake and Databricks implementations, managed enterprise Tableau-to-Power BI analytics migrations, and delivered Azure AI and Copilot Studio programs from planning through go-live. Coordinated cross-functional teams of data engineers, cloud architects, analysts, and external vendors using Azure DevOps across Agile and SAFe delivery models. Managed project plans, milestones, risk registers, budgets, and stakeholder communications; tracked OKRs, KPIs, P&amp;L health, and CSAT across a multi-million-dollar portfolio. Developed and deployed Agentic AI companion agents (Delivery, Pursuit, Sales) for portfolio-wide monitoring and data-driven decision-making.</w:t>
            </w:r>
          </w:p>
          <w:p>
            <w:pPr>
              <w:spacing w:before="120" w:after="20"/>
            </w:pPr>
            <w:r>
              <w:rPr>
                <w:b/>
                <w:color w:val="0F1E3C"/>
                <w:sz w:val="22"/>
              </w:rPr>
              <w:t>Dexian-Disys</w:t>
            </w:r>
            <w:r>
              <w:rPr>
                <w:b/>
                <w:color w:val="1E6FD9"/>
                <w:sz w:val="17"/>
              </w:rPr>
              <w:t xml:space="preserve">  · 6 years</w:t>
            </w:r>
            <w:r>
              <w:rPr>
                <w:color w:val="6B7280"/>
                <w:sz w:val="16"/>
              </w:rPr>
              <w:t xml:space="preserve">                                        Nov 2010 – Jun 2016</w:t>
            </w:r>
          </w:p>
          <w:p>
            <w:pPr>
              <w:spacing w:before="0" w:after="40"/>
            </w:pPr>
            <w:r>
              <w:rPr>
                <w:b/>
                <w:color w:val="1C2030"/>
                <w:sz w:val="17"/>
              </w:rPr>
              <w:t>Practice Manager, Application Development · Houston, TX → Washington D.C. Metro</w:t>
            </w:r>
            <w:r>
              <w:rPr>
                <w:color w:val="6B7280"/>
                <w:sz w:val="16"/>
              </w:rPr>
            </w:r>
          </w:p>
          <w:p>
            <w:pPr>
              <w:spacing w:before="0" w:after="80" w:line="240" w:lineRule="auto"/>
            </w:pPr>
            <w:r>
              <w:rPr>
                <w:color w:val="1C2030"/>
                <w:sz w:val="17"/>
              </w:rPr>
              <w:t>Head of delivery, technical sales prospecting, and oversight of all operations and projects under the Practice. Defined and built from the ground up an Application Development Practice. Full lead-to-order and order-to-cash process ownership. Forecasting, strategic planning, contracts closure, sale profitability analysis, and market trend monitoring.</w:t>
            </w:r>
          </w:p>
          <w:p>
            <w:pPr>
              <w:spacing w:before="120" w:after="20"/>
            </w:pPr>
            <w:r>
              <w:rPr>
                <w:b/>
                <w:color w:val="0F1E3C"/>
                <w:sz w:val="22"/>
              </w:rPr>
              <w:t>Meta Brasil</w:t>
            </w:r>
            <w:r>
              <w:rPr>
                <w:b/>
                <w:color w:val="1E6FD9"/>
                <w:sz w:val="17"/>
              </w:rPr>
              <w:t xml:space="preserve">  · 8 years</w:t>
            </w:r>
            <w:r>
              <w:rPr>
                <w:color w:val="6B7280"/>
                <w:sz w:val="16"/>
              </w:rPr>
              <w:t xml:space="preserve">                                        Sep 2002 – Oct 2010</w:t>
            </w:r>
          </w:p>
          <w:p>
            <w:pPr>
              <w:spacing w:before="0" w:after="40"/>
            </w:pPr>
            <w:r>
              <w:rPr>
                <w:b/>
                <w:color w:val="1C2030"/>
                <w:sz w:val="17"/>
              </w:rPr>
              <w:t>Dev Lead → IT Consultant → Technical Program Manager · Porto Alegre, Brazil</w:t>
            </w:r>
            <w:r>
              <w:rPr>
                <w:color w:val="6B7280"/>
                <w:sz w:val="16"/>
              </w:rPr>
            </w:r>
          </w:p>
          <w:p>
            <w:pPr>
              <w:spacing w:before="0" w:after="80" w:line="240" w:lineRule="auto"/>
            </w:pPr>
            <w:r>
              <w:rPr>
                <w:color w:val="1C2030"/>
                <w:sz w:val="17"/>
              </w:rPr>
              <w:t>Designed and enhanced IT consulting service offerings, project management and sales prospecting for software development projects, implementation of management methodologies, outsourcing operations, and counseling clients for optimized IT &amp; Business integration via PMO.</w:t>
            </w:r>
          </w:p>
          <w:p>
            <w:pPr>
              <w:spacing w:before="120" w:after="20"/>
            </w:pPr>
            <w:r>
              <w:rPr>
                <w:b/>
                <w:color w:val="0F1E3C"/>
                <w:sz w:val="22"/>
              </w:rPr>
              <w:t>Dinamize Web Systems</w:t>
            </w:r>
            <w:r>
              <w:rPr>
                <w:b/>
                <w:color w:val="1E6FD9"/>
                <w:sz w:val="17"/>
              </w:rPr>
              <w:t xml:space="preserve">  · 4 years</w:t>
            </w:r>
            <w:r>
              <w:rPr>
                <w:color w:val="6B7280"/>
                <w:sz w:val="16"/>
              </w:rPr>
              <w:t xml:space="preserve">                                        Aug 2000 – Jul 2004</w:t>
            </w:r>
          </w:p>
          <w:p>
            <w:pPr>
              <w:spacing w:before="0" w:after="40"/>
            </w:pPr>
            <w:r>
              <w:rPr>
                <w:b/>
                <w:color w:val="1C2030"/>
                <w:sz w:val="17"/>
              </w:rPr>
              <w:t>Full Stack Software Engineer · Porto Alegre, Brazil</w:t>
            </w:r>
            <w:r>
              <w:rPr>
                <w:color w:val="6B7280"/>
                <w:sz w:val="16"/>
              </w:rPr>
            </w:r>
          </w:p>
          <w:p>
            <w:pPr>
              <w:spacing w:before="0" w:after="80" w:line="240" w:lineRule="auto"/>
            </w:pPr>
            <w:r>
              <w:rPr>
                <w:color w:val="1C2030"/>
                <w:sz w:val="17"/>
              </w:rPr>
              <w:t>Where it all began. Built client-server and web-based applications using Delphi, Visual Basic, ASP.NET, and SQL Server. Developed foundational skills in database administration, UX/UI wireframing, and product engineering.</w:t>
            </w:r>
          </w:p>
          <w:p>
            <w:pPr>
              <w:spacing w:before="100" w:after="60"/>
              <w:pBdr>
                <w:bottom w:val="single" w:sz="6" w:color="1E6FD9"/>
              </w:pBdr>
            </w:pPr>
            <w:r>
              <w:rPr>
                <w:b/>
                <w:caps/>
                <w:color w:val="1E6FD9"/>
                <w:sz w:val="13"/>
              </w:rPr>
              <w:t>ACADEMIC BACKGROUND</w:t>
            </w:r>
          </w:p>
          <w:tbl>
            <w:tblPr>
              <w:tblW w:type="auto" w:w="0"/>
              <w:tblLook w:firstColumn="1" w:firstRow="1" w:lastColumn="0" w:lastRow="0" w:noHBand="0" w:noVBand="1" w:val="04A0"/>
            </w:tblPr>
            <w:tblGrid>
              <w:gridCol w:w="2340"/>
              <w:gridCol w:w="2340"/>
            </w:tblGrid>
            <w:tr>
              <w:tc>
                <w:tcPr>
                  <w:tcW w:type="dxa" w:w="2340"/>
                  <w:tcBorders>
                    <w:top w:val="none"/>
                    <w:left w:val="none"/>
                    <w:bottom w:val="none"/>
                    <w:right w:val="none"/>
                    <w:insideH w:val="none"/>
                    <w:insideV w:val="none"/>
                  </w:tcBorders>
                  <w:tcMar>
                    <w:top w:w="0" w:type="dxa"/>
                    <w:start w:w="0" w:type="dxa"/>
                    <w:bottom w:w="0" w:type="dxa"/>
                    <w:end w:w="200" w:type="dxa"/>
                  </w:tcMar>
                </w:tcPr>
                <w:p/>
                <w:p>
                  <w:pPr>
                    <w:spacing w:before="60" w:after="10"/>
                  </w:pPr>
                  <w:r>
                    <w:rPr>
                      <w:b/>
                      <w:color w:val="1C2030"/>
                      <w:sz w:val="16"/>
                    </w:rPr>
                    <w:t>Master's in Business Strategy</w:t>
                  </w:r>
                </w:p>
                <w:p>
                  <w:pPr>
                    <w:spacing w:before="0" w:after="60"/>
                  </w:pPr>
                  <w:r>
                    <w:rPr>
                      <w:color w:val="6B7280"/>
                      <w:sz w:val="14"/>
                    </w:rPr>
                    <w:t>Unisinos · Magna cum laude · 2011</w:t>
                  </w:r>
                </w:p>
              </w:tc>
              <w:tc>
                <w:tcPr>
                  <w:tcW w:type="dxa" w:w="2340"/>
                  <w:tcBorders>
                    <w:top w:val="none"/>
                    <w:left w:val="none"/>
                    <w:bottom w:val="none"/>
                    <w:right w:val="none"/>
                    <w:insideH w:val="none"/>
                    <w:insideV w:val="none"/>
                  </w:tcBorders>
                  <w:tcMar>
                    <w:top w:w="0" w:type="dxa"/>
                    <w:start w:w="0" w:type="dxa"/>
                    <w:bottom w:w="0" w:type="dxa"/>
                    <w:end w:w="200" w:type="dxa"/>
                  </w:tcMar>
                </w:tcPr>
                <w:p/>
                <w:p>
                  <w:pPr>
                    <w:spacing w:before="60" w:after="10"/>
                  </w:pPr>
                  <w:r>
                    <w:rPr>
                      <w:b/>
                      <w:color w:val="1C2030"/>
                      <w:sz w:val="16"/>
                    </w:rPr>
                    <w:t>B.S. Computer Science</w:t>
                  </w:r>
                </w:p>
                <w:p>
                  <w:pPr>
                    <w:spacing w:before="0" w:after="60"/>
                  </w:pPr>
                  <w:r>
                    <w:rPr>
                      <w:color w:val="6B7280"/>
                      <w:sz w:val="14"/>
                    </w:rPr>
                    <w:t>PUC-RS · Summa cum laude · 2007</w:t>
                  </w:r>
                </w:p>
              </w:tc>
            </w:tr>
            <w:tr>
              <w:tc>
                <w:tcPr>
                  <w:tcW w:type="dxa" w:w="2340"/>
                  <w:tcBorders>
                    <w:top w:val="none"/>
                    <w:left w:val="none"/>
                    <w:bottom w:val="none"/>
                    <w:right w:val="none"/>
                    <w:insideH w:val="none"/>
                    <w:insideV w:val="none"/>
                  </w:tcBorders>
                  <w:tcMar>
                    <w:top w:w="0" w:type="dxa"/>
                    <w:start w:w="0" w:type="dxa"/>
                    <w:bottom w:w="0" w:type="dxa"/>
                    <w:end w:w="200" w:type="dxa"/>
                  </w:tcMar>
                </w:tcPr>
                <w:p/>
                <w:p>
                  <w:pPr>
                    <w:spacing w:before="60" w:after="10"/>
                  </w:pPr>
                  <w:r>
                    <w:rPr>
                      <w:b/>
                      <w:color w:val="1C2030"/>
                      <w:sz w:val="16"/>
                    </w:rPr>
                    <w:t>Associate's in Software Engineering</w:t>
                  </w:r>
                </w:p>
                <w:p>
                  <w:pPr>
                    <w:spacing w:before="0" w:after="60"/>
                  </w:pPr>
                  <w:r>
                    <w:rPr>
                      <w:color w:val="6B7280"/>
                      <w:sz w:val="14"/>
                    </w:rPr>
                    <w:t>Escola Técnica Santo Inácio · 2002</w:t>
                  </w:r>
                </w:p>
              </w:tc>
              <w:tc>
                <w:tcPr>
                  <w:tcW w:type="dxa" w:w="2340"/>
                  <w:tcBorders>
                    <w:top w:val="none"/>
                    <w:left w:val="none"/>
                    <w:bottom w:val="none"/>
                    <w:right w:val="none"/>
                    <w:insideH w:val="none"/>
                    <w:insideV w:val="none"/>
                  </w:tcBorders>
                  <w:tcMar>
                    <w:top w:w="0" w:type="dxa"/>
                    <w:start w:w="0" w:type="dxa"/>
                    <w:bottom w:w="0" w:type="dxa"/>
                    <w:end w:w="200" w:type="dxa"/>
                  </w:tcMar>
                </w:tcPr>
                <w:p/>
                <w:p>
                  <w:pPr>
                    <w:spacing w:before="60" w:after="10"/>
                  </w:pPr>
                  <w:r>
                    <w:rPr>
                      <w:b/>
                      <w:color w:val="1C2030"/>
                      <w:sz w:val="16"/>
                    </w:rPr>
                  </w:r>
                </w:p>
              </w:tc>
            </w:tr>
          </w:tbl>
          <w:p/>
        </w:tc>
        <w:tc>
          <w:tcPr>
            <w:tcW w:type="dxa" w:w="4680"/>
            <w:tcBorders>
              <w:top w:val="none"/>
              <w:left w:val="none"/>
              <w:bottom w:val="none"/>
              <w:right w:val="none"/>
              <w:insideH w:val="none"/>
              <w:insideV w:val="none"/>
            </w:tcBorders>
            <w:shd w:val="clear" w:color="auto" w:fill="EEF4FD"/>
            <w:tcMar>
              <w:top w:w="280" w:type="dxa"/>
              <w:start w:w="310" w:type="dxa"/>
              <w:bottom w:w="280" w:type="dxa"/>
              <w:end w:w="310" w:type="dxa"/>
            </w:tcMar>
          </w:tcPr>
          <w:p/>
          <w:p>
            <w:pPr>
              <w:spacing w:before="100" w:after="60"/>
              <w:pBdr>
                <w:bottom w:val="single" w:sz="6" w:color="1E6FD9"/>
              </w:pBdr>
            </w:pPr>
            <w:r>
              <w:rPr>
                <w:b/>
                <w:caps/>
                <w:color w:val="1E6FD9"/>
                <w:sz w:val="13"/>
              </w:rPr>
              <w:t>CERTIFICATIONS</w:t>
            </w:r>
          </w:p>
          <w:p>
            <w:pPr>
              <w:spacing w:before="0" w:after="20"/>
            </w:pPr>
            <w:r>
              <w:rPr>
                <w:b/>
                <w:color w:val="1C2030"/>
                <w:sz w:val="16"/>
              </w:rPr>
              <w:t>PMP</w:t>
            </w:r>
          </w:p>
          <w:p>
            <w:pPr>
              <w:spacing w:before="0" w:after="40"/>
            </w:pPr>
            <w:r>
              <w:rPr>
                <w:color w:val="6B7280"/>
                <w:sz w:val="14"/>
              </w:rPr>
              <w:t>Project Management Institute</w:t>
            </w:r>
          </w:p>
          <w:p>
            <w:pPr>
              <w:spacing w:before="0" w:after="20"/>
            </w:pPr>
            <w:r>
              <w:rPr>
                <w:b/>
                <w:color w:val="1C2030"/>
                <w:sz w:val="16"/>
              </w:rPr>
              <w:t>CSPO · CSM</w:t>
            </w:r>
          </w:p>
          <w:p>
            <w:pPr>
              <w:spacing w:before="0" w:after="40"/>
            </w:pPr>
            <w:r>
              <w:rPr>
                <w:color w:val="6B7280"/>
                <w:sz w:val="14"/>
              </w:rPr>
              <w:t>Scrum Alliance</w:t>
            </w:r>
          </w:p>
          <w:p>
            <w:pPr>
              <w:spacing w:before="0" w:after="20"/>
            </w:pPr>
            <w:r>
              <w:rPr>
                <w:b/>
                <w:color w:val="1C2030"/>
                <w:sz w:val="16"/>
              </w:rPr>
              <w:t>ITIL</w:t>
            </w:r>
          </w:p>
          <w:p>
            <w:pPr>
              <w:spacing w:before="0" w:after="40"/>
            </w:pPr>
            <w:r>
              <w:rPr>
                <w:color w:val="6B7280"/>
                <w:sz w:val="14"/>
              </w:rPr>
              <w:t>Exin</w:t>
            </w:r>
          </w:p>
          <w:p>
            <w:pPr>
              <w:spacing w:before="0" w:after="20"/>
            </w:pPr>
            <w:r>
              <w:rPr>
                <w:b/>
                <w:color w:val="1C2030"/>
                <w:sz w:val="16"/>
              </w:rPr>
              <w:t>CMMI SCAMPI A &amp; B</w:t>
            </w:r>
          </w:p>
          <w:p>
            <w:pPr>
              <w:spacing w:before="0" w:after="40"/>
            </w:pPr>
            <w:r>
              <w:rPr>
                <w:color w:val="6B7280"/>
                <w:sz w:val="14"/>
              </w:rPr>
              <w:t>SEI Carnegie Mellon</w:t>
            </w:r>
          </w:p>
          <w:p>
            <w:pPr>
              <w:spacing w:before="100" w:after="60"/>
              <w:pBdr>
                <w:bottom w:val="single" w:sz="6" w:color="1E6FD9"/>
              </w:pBdr>
            </w:pPr>
            <w:r>
              <w:rPr>
                <w:b/>
                <w:caps/>
                <w:color w:val="1E6FD9"/>
                <w:sz w:val="13"/>
              </w:rPr>
              <w:t>LANGUAGES</w:t>
            </w:r>
          </w:p>
          <w:p>
            <w:pPr>
              <w:spacing w:before="0" w:after="40"/>
            </w:pPr>
            <w:r>
              <w:rPr>
                <w:b/>
                <w:color w:val="1C2030"/>
                <w:sz w:val="16"/>
              </w:rPr>
              <w:t>English</w:t>
            </w:r>
            <w:r>
              <w:rPr>
                <w:sz w:val="16"/>
              </w:rPr>
              <w:t xml:space="preserve">  </w:t>
            </w:r>
            <w:r>
              <w:rPr>
                <w:color w:val="1E6FD9"/>
                <w:sz w:val="14"/>
              </w:rPr>
              <w:t>Native</w:t>
            </w:r>
          </w:p>
          <w:p>
            <w:pPr>
              <w:spacing w:before="0" w:after="40"/>
            </w:pPr>
            <w:r>
              <w:rPr>
                <w:b/>
                <w:color w:val="1C2030"/>
                <w:sz w:val="16"/>
              </w:rPr>
              <w:t>Portuguese</w:t>
            </w:r>
            <w:r>
              <w:rPr>
                <w:sz w:val="16"/>
              </w:rPr>
              <w:t xml:space="preserve">  </w:t>
            </w:r>
            <w:r>
              <w:rPr>
                <w:color w:val="1E6FD9"/>
                <w:sz w:val="14"/>
              </w:rPr>
              <w:t>Native</w:t>
            </w:r>
          </w:p>
          <w:p>
            <w:pPr>
              <w:spacing w:before="0" w:after="40"/>
            </w:pPr>
            <w:r>
              <w:rPr>
                <w:b/>
                <w:color w:val="1C2030"/>
                <w:sz w:val="16"/>
              </w:rPr>
              <w:t>French</w:t>
            </w:r>
            <w:r>
              <w:rPr>
                <w:sz w:val="16"/>
              </w:rPr>
              <w:t xml:space="preserve">  </w:t>
            </w:r>
            <w:r>
              <w:rPr>
                <w:color w:val="1E6FD9"/>
                <w:sz w:val="14"/>
              </w:rPr>
              <w:t>Proficient</w:t>
            </w:r>
          </w:p>
          <w:p>
            <w:pPr>
              <w:spacing w:before="0" w:after="40"/>
            </w:pPr>
            <w:r>
              <w:rPr>
                <w:b/>
                <w:color w:val="1C2030"/>
                <w:sz w:val="16"/>
              </w:rPr>
              <w:t>Spanish</w:t>
            </w:r>
            <w:r>
              <w:rPr>
                <w:sz w:val="16"/>
              </w:rPr>
              <w:t xml:space="preserve">  </w:t>
            </w:r>
            <w:r>
              <w:rPr>
                <w:color w:val="1E6FD9"/>
                <w:sz w:val="14"/>
              </w:rPr>
              <w:t>Conversational</w:t>
            </w:r>
          </w:p>
          <w:p>
            <w:pPr>
              <w:spacing w:before="100" w:after="60"/>
              <w:pBdr>
                <w:bottom w:val="single" w:sz="6" w:color="1E6FD9"/>
              </w:pBdr>
            </w:pPr>
            <w:r>
              <w:rPr>
                <w:b/>
                <w:caps/>
                <w:color w:val="1E6FD9"/>
                <w:sz w:val="13"/>
              </w:rPr>
              <w:t>VOICES</w:t>
            </w:r>
          </w:p>
          <w:p>
            <w:pPr>
              <w:spacing w:before="30" w:after="10" w:line="220" w:lineRule="auto"/>
              <w:pBdr>
                <w:left w:val="single" w:sz="12" w:color="1E6FD9"/>
              </w:pBdr>
              <w:ind w:left="100"/>
            </w:pPr>
            <w:r>
              <w:rPr>
                <w:i/>
                <w:color w:val="1C2030"/>
                <w:sz w:val="14"/>
              </w:rPr>
              <w:t>"Fernando is one of the most knowledgeable and effective resources I have come across in my +20yrs at MSFT. Your approach and structured working style keeping Team on point for the multitude of tasks and approvals it takes is SUPER. VERY few can accomplish this."</w:t>
            </w:r>
          </w:p>
          <w:p>
            <w:pPr>
              <w:spacing w:before="0" w:after="0"/>
              <w:ind w:left="100"/>
            </w:pPr>
            <w:r>
              <w:rPr>
                <w:b/>
                <w:color w:val="0F1E3C"/>
                <w:sz w:val="15"/>
              </w:rPr>
              <w:t>Adam Ryncarz</w:t>
            </w:r>
          </w:p>
          <w:p>
            <w:pPr>
              <w:spacing w:before="0" w:after="50"/>
              <w:ind w:left="100"/>
            </w:pPr>
            <w:r>
              <w:rPr>
                <w:color w:val="6B7280"/>
                <w:sz w:val="13"/>
              </w:rPr>
              <w:t>Ford/GM/Cruise Account Delivery Executive · Microsoft</w:t>
            </w:r>
          </w:p>
          <w:p>
            <w:pPr>
              <w:spacing w:before="30" w:after="10" w:line="220" w:lineRule="auto"/>
              <w:pBdr>
                <w:left w:val="single" w:sz="12" w:color="1E6FD9"/>
              </w:pBdr>
              <w:ind w:left="100"/>
            </w:pPr>
            <w:r>
              <w:rPr>
                <w:i/>
                <w:color w:val="1C2030"/>
                <w:sz w:val="14"/>
              </w:rPr>
              <w:t>"I have unwavering confidence in everything you do. I have witnessed your exponential growth over the years. You are intentional, focused, and do not shy away from challenges. I genuinely see you as a leader in your field."</w:t>
            </w:r>
          </w:p>
          <w:p>
            <w:pPr>
              <w:spacing w:before="0" w:after="0"/>
              <w:ind w:left="100"/>
            </w:pPr>
            <w:r>
              <w:rPr>
                <w:b/>
                <w:color w:val="0F1E3C"/>
                <w:sz w:val="15"/>
              </w:rPr>
              <w:t>Dawna Covey</w:t>
            </w:r>
          </w:p>
          <w:p>
            <w:pPr>
              <w:spacing w:before="0" w:after="50"/>
              <w:ind w:left="100"/>
            </w:pPr>
            <w:r>
              <w:rPr>
                <w:color w:val="6B7280"/>
                <w:sz w:val="13"/>
              </w:rPr>
              <w:t>Enterprise ADL · Microsoft</w:t>
            </w:r>
          </w:p>
          <w:p>
            <w:pPr>
              <w:spacing w:before="30" w:after="10" w:line="220" w:lineRule="auto"/>
              <w:pBdr>
                <w:left w:val="single" w:sz="12" w:color="1E6FD9"/>
              </w:pBdr>
              <w:ind w:left="100"/>
            </w:pPr>
            <w:r>
              <w:rPr>
                <w:i/>
                <w:color w:val="1C2030"/>
                <w:sz w:val="14"/>
              </w:rPr>
              <w:t>"Fernando has a can do attitude. Even on areas outside of his remit, he has leaned in to support the team. Fernando is a joy to work with."</w:t>
            </w:r>
          </w:p>
          <w:p>
            <w:pPr>
              <w:spacing w:before="0" w:after="0"/>
              <w:ind w:left="100"/>
            </w:pPr>
            <w:r>
              <w:rPr>
                <w:b/>
                <w:color w:val="0F1E3C"/>
                <w:sz w:val="15"/>
              </w:rPr>
              <w:t>Melissa Hooper</w:t>
            </w:r>
          </w:p>
          <w:p>
            <w:pPr>
              <w:spacing w:before="0" w:after="50"/>
              <w:ind w:left="100"/>
            </w:pPr>
            <w:r>
              <w:rPr>
                <w:color w:val="6B7280"/>
                <w:sz w:val="13"/>
              </w:rPr>
              <w:t>Sales Director · Microsoft</w:t>
            </w:r>
          </w:p>
          <w:p>
            <w:pPr>
              <w:spacing w:before="30" w:after="10" w:line="220" w:lineRule="auto"/>
              <w:pBdr>
                <w:left w:val="single" w:sz="12" w:color="1E6FD9"/>
              </w:pBdr>
              <w:ind w:left="100"/>
            </w:pPr>
            <w:r>
              <w:rPr>
                <w:i/>
                <w:color w:val="1C2030"/>
                <w:sz w:val="14"/>
              </w:rPr>
              <w:t>"Fernando and I are on the same page 99% of the time, which makes it really easy to work through issues when they arise. He is a very collaborative partner and is genuinely interested in coming up with acceptable solutions to very difficult challenges, often in extremely tight timelines."</w:t>
            </w:r>
          </w:p>
          <w:p>
            <w:pPr>
              <w:spacing w:before="0" w:after="0"/>
              <w:ind w:left="100"/>
            </w:pPr>
            <w:r>
              <w:rPr>
                <w:b/>
                <w:color w:val="0F1E3C"/>
                <w:sz w:val="15"/>
              </w:rPr>
              <w:t>Joe Newel</w:t>
            </w:r>
          </w:p>
          <w:p>
            <w:pPr>
              <w:spacing w:before="0" w:after="50"/>
              <w:ind w:left="100"/>
            </w:pPr>
            <w:r>
              <w:rPr>
                <w:color w:val="6B7280"/>
                <w:sz w:val="13"/>
              </w:rPr>
              <w:t>Architect Manager · Microsoft</w:t>
            </w:r>
          </w:p>
          <w:p>
            <w:pPr>
              <w:spacing w:before="100" w:after="60"/>
              <w:pBdr>
                <w:bottom w:val="single" w:sz="6" w:color="1E6FD9"/>
              </w:pBdr>
            </w:pPr>
            <w:r>
              <w:rPr>
                <w:b/>
                <w:caps/>
                <w:color w:val="1E6FD9"/>
                <w:sz w:val="13"/>
              </w:rPr>
              <w:t>HOBBIES &amp; INTERESTS</w:t>
            </w:r>
          </w:p>
          <w:p>
            <w:pPr>
              <w:spacing w:before="0" w:after="25"/>
            </w:pPr>
            <w:r>
              <w:rPr>
                <w:color w:val="1E6FD9"/>
                <w:sz w:val="15"/>
              </w:rPr>
              <w:t xml:space="preserve">·  </w:t>
            </w:r>
            <w:r>
              <w:rPr>
                <w:color w:val="1C2030"/>
                <w:sz w:val="15"/>
              </w:rPr>
              <w:t>"That One Picture" — amateur photography</w:t>
            </w:r>
          </w:p>
          <w:p>
            <w:pPr>
              <w:spacing w:before="0" w:after="25"/>
            </w:pPr>
            <w:r>
              <w:rPr>
                <w:color w:val="1E6FD9"/>
                <w:sz w:val="15"/>
              </w:rPr>
              <w:t xml:space="preserve">·  </w:t>
            </w:r>
            <w:r>
              <w:rPr>
                <w:color w:val="1C2030"/>
                <w:sz w:val="15"/>
              </w:rPr>
              <w:t>"Project Footprint" — 30+ countries visited</w:t>
            </w:r>
          </w:p>
          <w:p>
            <w:pPr>
              <w:spacing w:before="0" w:after="25"/>
            </w:pPr>
            <w:r>
              <w:rPr>
                <w:color w:val="1E6FD9"/>
                <w:sz w:val="15"/>
              </w:rPr>
              <w:t xml:space="preserve">·  </w:t>
            </w:r>
            <w:r>
              <w:rPr>
                <w:color w:val="1C2030"/>
                <w:sz w:val="15"/>
              </w:rPr>
              <w:t>Water Sports, Skiing, 10k Running, HIIT</w:t>
            </w:r>
          </w:p>
          <w:p>
            <w:pPr>
              <w:spacing w:before="0" w:after="25"/>
            </w:pPr>
            <w:r>
              <w:rPr>
                <w:color w:val="1E6FD9"/>
                <w:sz w:val="15"/>
              </w:rPr>
              <w:t xml:space="preserve">·  </w:t>
            </w:r>
            <w:r>
              <w:rPr>
                <w:color w:val="1C2030"/>
                <w:sz w:val="15"/>
              </w:rPr>
              <w:t>F1, Broadway, Major Leagues, World Travel</w:t>
            </w:r>
          </w:p>
          <w:p>
            <w:pPr>
              <w:spacing w:before="0" w:after="25"/>
            </w:pPr>
            <w:r>
              <w:rPr>
                <w:color w:val="1E6FD9"/>
                <w:sz w:val="15"/>
              </w:rPr>
              <w:t xml:space="preserve">·  </w:t>
            </w:r>
            <w:r>
              <w:rPr>
                <w:color w:val="1C2030"/>
                <w:sz w:val="15"/>
              </w:rPr>
              <w:t>"The Book of Alessia Faye" — Girl Dad</w:t>
            </w:r>
          </w:p>
          <w:p>
            <w:pPr>
              <w:spacing w:before="0" w:after="25"/>
            </w:pPr>
            <w:r>
              <w:rPr>
                <w:color w:val="1E6FD9"/>
                <w:sz w:val="15"/>
              </w:rPr>
              <w:t xml:space="preserve">·  </w:t>
            </w:r>
            <w:r>
              <w:rPr>
                <w:color w:val="1C2030"/>
                <w:sz w:val="15"/>
              </w:rPr>
              <w:t>Pet parent (Doce &amp; Salgada)</w:t>
            </w:r>
          </w:p>
          <w:p>
            <w:pPr>
              <w:spacing w:before="0" w:after="25"/>
            </w:pPr>
            <w:r>
              <w:rPr>
                <w:color w:val="1E6FD9"/>
                <w:sz w:val="15"/>
              </w:rPr>
              <w:t xml:space="preserve">·  </w:t>
            </w:r>
            <w:r>
              <w:rPr>
                <w:color w:val="1C2030"/>
                <w:sz w:val="15"/>
              </w:rPr>
              <w:t>Reading — J. Grisham, M. Gladwell, W. Isaacson</w:t>
            </w:r>
          </w:p>
          <w:p>
            <w:pPr>
              <w:spacing w:before="0" w:after="25"/>
            </w:pPr>
            <w:r>
              <w:rPr>
                <w:color w:val="1E6FD9"/>
                <w:sz w:val="15"/>
              </w:rPr>
              <w:t xml:space="preserve">·  </w:t>
            </w:r>
            <w:r>
              <w:rPr>
                <w:color w:val="1C2030"/>
                <w:sz w:val="15"/>
              </w:rPr>
              <w:t>Passe Completo Rádio! &amp; How I Built This</w:t>
            </w:r>
          </w:p>
        </w:tc>
      </w:tr>
    </w:tbl>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