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2D2" w14:textId="42B5ACB5" w:rsidR="00AB53CD" w:rsidRPr="00AB53CD" w:rsidRDefault="00AB53CD" w:rsidP="00AB53CD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3.3 Market Structure and Contestability</w:t>
      </w:r>
    </w:p>
    <w:p w14:paraId="3D029119" w14:textId="77777777" w:rsidR="00AB53CD" w:rsidRDefault="00AB53CD" w:rsidP="00AB53CD">
      <w:pPr>
        <w:rPr>
          <w:rFonts w:eastAsia="Times New Roman" w:cs="Times New Roman"/>
          <w:b/>
          <w:bCs/>
          <w:color w:val="000000"/>
          <w:sz w:val="20"/>
          <w:szCs w:val="20"/>
          <w:lang w:val="en-IE" w:eastAsia="zh-CN"/>
        </w:rPr>
      </w:pPr>
    </w:p>
    <w:p w14:paraId="1A1789EC" w14:textId="4EAF7AB0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lang w:val="en-IE" w:eastAsia="zh-CN"/>
        </w:rPr>
        <w:t xml:space="preserve">1 Efficiency </w:t>
      </w:r>
    </w:p>
    <w:p w14:paraId="1412DB75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a) The concepts of: </w:t>
      </w:r>
    </w:p>
    <w:p w14:paraId="3279DE3D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allocative efficiency </w:t>
      </w:r>
    </w:p>
    <w:p w14:paraId="084F8F9F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productive efficiency </w:t>
      </w:r>
    </w:p>
    <w:p w14:paraId="6F4588D9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dynamic efficiency </w:t>
      </w:r>
    </w:p>
    <w:p w14:paraId="599FCE9D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X-inefficiency </w:t>
      </w:r>
    </w:p>
    <w:p w14:paraId="62C63885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efficiency/inefficiency in different market structures. </w:t>
      </w:r>
    </w:p>
    <w:p w14:paraId="6006955B" w14:textId="77777777" w:rsidR="00AB53CD" w:rsidRPr="00AB53CD" w:rsidRDefault="00AB53CD" w:rsidP="00AB53CD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05261C59" w14:textId="268539C9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lang w:val="en-IE" w:eastAsia="zh-CN"/>
        </w:rPr>
        <w:t xml:space="preserve">2 Concentration ratio </w:t>
      </w:r>
    </w:p>
    <w:p w14:paraId="221A327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a) Calculation of n-firm concentration ratios. </w:t>
      </w:r>
    </w:p>
    <w:p w14:paraId="620DBDB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b) The significance of concentration ratios. </w:t>
      </w:r>
    </w:p>
    <w:p w14:paraId="50A1385C" w14:textId="77777777" w:rsidR="00AB53CD" w:rsidRPr="00AB53CD" w:rsidRDefault="00AB53CD" w:rsidP="00AB53CD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73ECE784" w14:textId="779CACE1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lang w:val="en-IE" w:eastAsia="zh-CN"/>
        </w:rPr>
        <w:t xml:space="preserve">3 Perfect competition </w:t>
      </w:r>
    </w:p>
    <w:p w14:paraId="627AAA16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a) Assumptions of perfect competition. </w:t>
      </w:r>
    </w:p>
    <w:p w14:paraId="16DC0701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b) Profit-maximising equilibrium in the short run and long run. </w:t>
      </w:r>
    </w:p>
    <w:p w14:paraId="12057241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c) The short-run shutdown point. </w:t>
      </w:r>
    </w:p>
    <w:p w14:paraId="75FCE6A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d) Productive and allocative efficiency in the short run and long run. </w:t>
      </w:r>
    </w:p>
    <w:p w14:paraId="07CE6964" w14:textId="77777777" w:rsidR="00AB53CD" w:rsidRPr="00AB53CD" w:rsidRDefault="00AB53CD" w:rsidP="00AB53CD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66A14018" w14:textId="53FC0EBE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lang w:val="en-IE" w:eastAsia="zh-CN"/>
        </w:rPr>
        <w:t xml:space="preserve">4 Monopolistic competition </w:t>
      </w:r>
    </w:p>
    <w:p w14:paraId="5324BA47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a) Assumptions of monopolistic competition. </w:t>
      </w:r>
    </w:p>
    <w:p w14:paraId="430B134E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b) Types of product differentiation: </w:t>
      </w:r>
    </w:p>
    <w:p w14:paraId="1AF0653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physical – product features </w:t>
      </w:r>
    </w:p>
    <w:p w14:paraId="1366B1B7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marketing – advertising, packaging </w:t>
      </w:r>
    </w:p>
    <w:p w14:paraId="65BC73B3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distribution – shop, online, telephone. </w:t>
      </w:r>
    </w:p>
    <w:p w14:paraId="09AF790A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c) Profit-maximising equilibrium in the short run and long run. </w:t>
      </w:r>
    </w:p>
    <w:p w14:paraId="2BC33466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d) Productive and allocative efficiency in the short run and long run. </w:t>
      </w:r>
    </w:p>
    <w:p w14:paraId="6C1FF0A0" w14:textId="77777777" w:rsidR="00AB53CD" w:rsidRPr="00AB53CD" w:rsidRDefault="00AB53CD" w:rsidP="00AB53CD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7ABDF6A2" w14:textId="14ADD70E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b/>
          <w:bCs/>
          <w:color w:val="000000"/>
          <w:lang w:val="en-IE" w:eastAsia="zh-CN"/>
        </w:rPr>
        <w:t xml:space="preserve">5 Oligopoly </w:t>
      </w:r>
    </w:p>
    <w:p w14:paraId="64AB8CED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a) Assumptions of oligopoly. </w:t>
      </w:r>
    </w:p>
    <w:p w14:paraId="244A457A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b) Barriers to entry and exit: </w:t>
      </w:r>
    </w:p>
    <w:p w14:paraId="505829F1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economies of scale </w:t>
      </w:r>
    </w:p>
    <w:p w14:paraId="614DED79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limit pricing </w:t>
      </w:r>
    </w:p>
    <w:p w14:paraId="059C1C84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patents </w:t>
      </w:r>
    </w:p>
    <w:p w14:paraId="50FEBA76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branding </w:t>
      </w:r>
    </w:p>
    <w:p w14:paraId="574417C8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sunk costs </w:t>
      </w:r>
    </w:p>
    <w:p w14:paraId="6A514878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legal. </w:t>
      </w:r>
    </w:p>
    <w:p w14:paraId="4B56044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c) Interdependence of firms: </w:t>
      </w:r>
    </w:p>
    <w:p w14:paraId="3DEDF13A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simple game theory – two firm/two outcome model </w:t>
      </w:r>
    </w:p>
    <w:p w14:paraId="6C4C2013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reasons for collusive and non-collusive behaviour </w:t>
      </w:r>
    </w:p>
    <w:p w14:paraId="3F776938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cartels </w:t>
      </w:r>
    </w:p>
    <w:p w14:paraId="630C6DF8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price leadership </w:t>
      </w:r>
    </w:p>
    <w:p w14:paraId="6EE3C11F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price wars. </w:t>
      </w:r>
    </w:p>
    <w:p w14:paraId="419200CB" w14:textId="3749CD13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lastRenderedPageBreak/>
        <w:t>d) Costs and benefits of collusion to producers, consumers, workers and</w:t>
      </w:r>
      <w:r w:rsidR="00BF7B40">
        <w:rPr>
          <w:rFonts w:eastAsia="Times New Roman" w:cs="Times New Roman"/>
          <w:color w:val="000000"/>
          <w:lang w:val="en-IE" w:eastAsia="zh-CN"/>
        </w:rPr>
        <w:t xml:space="preserve"> </w:t>
      </w:r>
      <w:r w:rsidRPr="00AB53CD">
        <w:rPr>
          <w:rFonts w:eastAsia="Times New Roman" w:cs="Times New Roman"/>
          <w:color w:val="000000"/>
          <w:lang w:val="en-IE" w:eastAsia="zh-CN"/>
        </w:rPr>
        <w:t xml:space="preserve">governments. </w:t>
      </w:r>
    </w:p>
    <w:p w14:paraId="19353614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e) Price competition: </w:t>
      </w:r>
    </w:p>
    <w:p w14:paraId="296857F0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price wars </w:t>
      </w:r>
    </w:p>
    <w:p w14:paraId="23024E48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 xml:space="preserve">• predatory pricing </w:t>
      </w:r>
    </w:p>
    <w:p w14:paraId="2A81ED8F" w14:textId="77777777" w:rsidR="00AB53CD" w:rsidRPr="00AB53CD" w:rsidRDefault="00AB53CD" w:rsidP="00AB53CD">
      <w:pPr>
        <w:rPr>
          <w:rFonts w:eastAsia="Times New Roman" w:cs="Times New Roman"/>
          <w:lang w:val="en-IE" w:eastAsia="zh-CN"/>
        </w:rPr>
      </w:pPr>
      <w:r w:rsidRPr="00AB53CD">
        <w:rPr>
          <w:rFonts w:eastAsia="Times New Roman" w:cs="Times New Roman"/>
          <w:color w:val="000000"/>
          <w:lang w:val="en-IE" w:eastAsia="zh-CN"/>
        </w:rPr>
        <w:t>• limit pricing.</w:t>
      </w:r>
    </w:p>
    <w:p w14:paraId="583633C9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f) Non-price competition: </w:t>
      </w:r>
    </w:p>
    <w:p w14:paraId="326D8E3F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advertising and branding </w:t>
      </w:r>
    </w:p>
    <w:p w14:paraId="2FF6D3C4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quality </w:t>
      </w:r>
    </w:p>
    <w:p w14:paraId="2B26C79E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endorsement </w:t>
      </w:r>
    </w:p>
    <w:p w14:paraId="09C4C1D5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product placement </w:t>
      </w:r>
    </w:p>
    <w:p w14:paraId="5C4CBC27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after-sales service. </w:t>
      </w:r>
    </w:p>
    <w:p w14:paraId="1D436263" w14:textId="254D2440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g) Costs and benefits of price and non-price competition to firms, consumers, employees and suppliers. </w:t>
      </w:r>
    </w:p>
    <w:p w14:paraId="3E6291BD" w14:textId="77777777" w:rsidR="00BF7B40" w:rsidRDefault="00BF7B40" w:rsidP="00BF7B40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3D223FB0" w14:textId="0C128AC6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b/>
          <w:bCs/>
          <w:color w:val="000000"/>
          <w:lang w:val="en-IE" w:eastAsia="zh-CN"/>
        </w:rPr>
        <w:t xml:space="preserve">6 Monopoly </w:t>
      </w:r>
    </w:p>
    <w:p w14:paraId="65F226F7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a) Assumptions of monopoly. </w:t>
      </w:r>
    </w:p>
    <w:p w14:paraId="15CDBE61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b) Barriers to entry and exit. </w:t>
      </w:r>
    </w:p>
    <w:p w14:paraId="110D5141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c) Profit-maximising equilibrium. </w:t>
      </w:r>
    </w:p>
    <w:p w14:paraId="46F2DF10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d) Costs and benefits of monopoly to firms and consumers. </w:t>
      </w:r>
    </w:p>
    <w:p w14:paraId="6E644858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e) The concept of ‘natural monopoly’ and its implications. </w:t>
      </w:r>
    </w:p>
    <w:p w14:paraId="18384884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f) Conditions necessary for third-degree price discrimination. </w:t>
      </w:r>
    </w:p>
    <w:p w14:paraId="42429CD6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g) Costs and benefits of price discrimination to firms and consumers. </w:t>
      </w:r>
    </w:p>
    <w:p w14:paraId="10879004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h) Productive, allocative and dynamic efficiency. </w:t>
      </w:r>
    </w:p>
    <w:p w14:paraId="07441BB3" w14:textId="77777777" w:rsidR="00BF7B40" w:rsidRDefault="00BF7B40" w:rsidP="00BF7B40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3BACADDD" w14:textId="667DE842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b/>
          <w:bCs/>
          <w:color w:val="000000"/>
          <w:lang w:val="en-IE" w:eastAsia="zh-CN"/>
        </w:rPr>
        <w:t xml:space="preserve">7 Monopsony </w:t>
      </w:r>
    </w:p>
    <w:p w14:paraId="6A96CAE7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a) Assumptions and conditions for a monopsony to operate. </w:t>
      </w:r>
    </w:p>
    <w:p w14:paraId="35F2F508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b) Costs and benefits of a monopsony to firms, consumers and </w:t>
      </w:r>
    </w:p>
    <w:p w14:paraId="44AF0A13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employees. </w:t>
      </w:r>
    </w:p>
    <w:p w14:paraId="76C8330B" w14:textId="77777777" w:rsidR="00BF7B40" w:rsidRDefault="00BF7B40" w:rsidP="00BF7B40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0A225066" w14:textId="5AE74ED5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b/>
          <w:bCs/>
          <w:color w:val="000000"/>
          <w:lang w:val="en-IE" w:eastAsia="zh-CN"/>
        </w:rPr>
        <w:t xml:space="preserve">8 Contestability </w:t>
      </w:r>
    </w:p>
    <w:p w14:paraId="61731632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a) Characteristics of contestable markets. </w:t>
      </w:r>
    </w:p>
    <w:p w14:paraId="17275E66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b) Implications of contestable markets for behaviour of firms on: </w:t>
      </w:r>
    </w:p>
    <w:p w14:paraId="5C5D278D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profitability </w:t>
      </w:r>
    </w:p>
    <w:p w14:paraId="7CC32469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• pricing decisions (limit pricing). </w:t>
      </w:r>
    </w:p>
    <w:p w14:paraId="6558C854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 xml:space="preserve">c) Costs and benefits of contestability for firms and consumers. </w:t>
      </w:r>
    </w:p>
    <w:p w14:paraId="1A0A25D8" w14:textId="77777777" w:rsidR="00BF7B40" w:rsidRPr="00BF7B40" w:rsidRDefault="00BF7B40" w:rsidP="00BF7B40">
      <w:pPr>
        <w:rPr>
          <w:rFonts w:eastAsia="Times New Roman" w:cs="Times New Roman"/>
          <w:lang w:val="en-IE" w:eastAsia="zh-CN"/>
        </w:rPr>
      </w:pPr>
      <w:r w:rsidRPr="00BF7B40">
        <w:rPr>
          <w:rFonts w:eastAsia="Times New Roman" w:cs="Times New Roman"/>
          <w:color w:val="000000"/>
          <w:lang w:val="en-IE" w:eastAsia="zh-CN"/>
        </w:rPr>
        <w:t>d) The significance of sunk costs for contestability.</w:t>
      </w:r>
    </w:p>
    <w:p w14:paraId="0CD0AF0F" w14:textId="77777777" w:rsidR="00BE298A" w:rsidRPr="00AB53CD" w:rsidRDefault="00BE298A">
      <w:pPr>
        <w:rPr>
          <w:lang w:val="en-IE"/>
        </w:rPr>
      </w:pPr>
    </w:p>
    <w:sectPr w:rsidR="00BE298A" w:rsidRPr="00AB53C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AB53CD"/>
    <w:rsid w:val="00BE298A"/>
    <w:rsid w:val="00B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F0A51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2023-02-24T05:32:00Z</dcterms:modified>
</cp:coreProperties>
</file>