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E2965" w14:textId="0B48A0C4" w:rsidR="00BE298A" w:rsidRDefault="001F34F0">
      <w:pPr>
        <w:rPr>
          <w:b/>
          <w:bCs/>
          <w:sz w:val="36"/>
          <w:szCs w:val="36"/>
        </w:rPr>
      </w:pPr>
      <w:r w:rsidRPr="001F34F0">
        <w:rPr>
          <w:b/>
          <w:bCs/>
          <w:sz w:val="36"/>
          <w:szCs w:val="36"/>
        </w:rPr>
        <w:t>3.5 Government Intervention</w:t>
      </w:r>
    </w:p>
    <w:p w14:paraId="5AA8B060" w14:textId="62585F89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b/>
          <w:bCs/>
          <w:color w:val="000000"/>
          <w:lang w:val="en-IE" w:eastAsia="zh-CN"/>
        </w:rPr>
        <w:t xml:space="preserve">1 </w:t>
      </w:r>
      <w:r w:rsidRPr="001F34F0">
        <w:rPr>
          <w:rFonts w:eastAsia="Times New Roman" w:cs="Times New Roman"/>
          <w:b/>
          <w:bCs/>
          <w:color w:val="000000"/>
          <w:lang w:val="en-IE" w:eastAsia="zh-CN"/>
        </w:rPr>
        <w:t xml:space="preserve">Government intervention in product markets </w:t>
      </w:r>
    </w:p>
    <w:p w14:paraId="14833209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a) The case for government intervention. </w:t>
      </w:r>
    </w:p>
    <w:p w14:paraId="082350F9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b) Measures to control monopolies and mergers: </w:t>
      </w:r>
    </w:p>
    <w:p w14:paraId="4DE621CB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price regulation </w:t>
      </w:r>
    </w:p>
    <w:p w14:paraId="10AB5193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profit regulation </w:t>
      </w:r>
    </w:p>
    <w:p w14:paraId="17652C4D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quality standards </w:t>
      </w:r>
    </w:p>
    <w:p w14:paraId="1F614CC8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performance targets </w:t>
      </w:r>
    </w:p>
    <w:p w14:paraId="72CB6115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referral to regulatory authorities </w:t>
      </w:r>
    </w:p>
    <w:p w14:paraId="7F5846F4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legislation to control mergers and takeovers. </w:t>
      </w:r>
    </w:p>
    <w:p w14:paraId="78A7073B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c) Measures to promote competition and contestability: </w:t>
      </w:r>
    </w:p>
    <w:p w14:paraId="7511502A" w14:textId="3235DCA9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tax incentives and grants to promote small businesses and FDI </w:t>
      </w:r>
    </w:p>
    <w:p w14:paraId="343D564B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deregulation </w:t>
      </w:r>
    </w:p>
    <w:p w14:paraId="3024389D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privatisation </w:t>
      </w:r>
    </w:p>
    <w:p w14:paraId="789CAFCE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competitive tendering for public sector contracts </w:t>
      </w:r>
    </w:p>
    <w:p w14:paraId="2E116AB2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trade liberalisation. </w:t>
      </w:r>
    </w:p>
    <w:p w14:paraId="6D37080D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d) Measures to protect suppliers and employees: </w:t>
      </w:r>
    </w:p>
    <w:p w14:paraId="733CCF4F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local sourcing of raw materials and components </w:t>
      </w:r>
    </w:p>
    <w:p w14:paraId="7EE9FBD0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employment legislation to protect workers from </w:t>
      </w:r>
    </w:p>
    <w:p w14:paraId="716E4CFA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exploitation </w:t>
      </w:r>
    </w:p>
    <w:p w14:paraId="2F8BFABF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barriers to entry of foreign firms </w:t>
      </w:r>
    </w:p>
    <w:p w14:paraId="281F48D4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restrictions on the monopsony power of firms </w:t>
      </w:r>
    </w:p>
    <w:p w14:paraId="5339C5E1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nationalisation. </w:t>
      </w:r>
    </w:p>
    <w:p w14:paraId="6A6932E9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e) The impact of each measure on: </w:t>
      </w:r>
    </w:p>
    <w:p w14:paraId="60D2FD3E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price </w:t>
      </w:r>
    </w:p>
    <w:p w14:paraId="194A233F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profit </w:t>
      </w:r>
    </w:p>
    <w:p w14:paraId="4C36D4B2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efficiency </w:t>
      </w:r>
    </w:p>
    <w:p w14:paraId="6E8A7BF7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quality </w:t>
      </w:r>
    </w:p>
    <w:p w14:paraId="51C2A1A0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choice. </w:t>
      </w:r>
    </w:p>
    <w:p w14:paraId="32BF4A5F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f) Limits to government intervention: </w:t>
      </w:r>
    </w:p>
    <w:p w14:paraId="6F94F0C8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regulatory capture </w:t>
      </w:r>
    </w:p>
    <w:p w14:paraId="3FE6136E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asymmetric information/information gaps </w:t>
      </w:r>
    </w:p>
    <w:p w14:paraId="788436A7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inadequate resources </w:t>
      </w:r>
    </w:p>
    <w:p w14:paraId="0331A0C1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lack of regulatory power. </w:t>
      </w:r>
    </w:p>
    <w:p w14:paraId="7751F937" w14:textId="77777777" w:rsidR="001F34F0" w:rsidRDefault="001F34F0" w:rsidP="001F34F0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515B87CE" w14:textId="575F1FC0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b/>
          <w:bCs/>
          <w:color w:val="000000"/>
          <w:lang w:val="en-IE" w:eastAsia="zh-CN"/>
        </w:rPr>
        <w:t xml:space="preserve">2 Government intervention in labour markets </w:t>
      </w:r>
    </w:p>
    <w:p w14:paraId="3F75D4C2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a) The case for government intervention. </w:t>
      </w:r>
    </w:p>
    <w:p w14:paraId="266FF809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b) Types of government intervention in labour markets and their </w:t>
      </w:r>
    </w:p>
    <w:p w14:paraId="308B37C7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effects: </w:t>
      </w:r>
    </w:p>
    <w:p w14:paraId="67E7A435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maximum wage controls </w:t>
      </w:r>
    </w:p>
    <w:p w14:paraId="3C937A11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minimum wage controls </w:t>
      </w:r>
    </w:p>
    <w:p w14:paraId="00BEBED6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direct taxes e.g. national insurance contributions; corporation </w:t>
      </w:r>
    </w:p>
    <w:p w14:paraId="30ABD75C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tax </w:t>
      </w:r>
    </w:p>
    <w:p w14:paraId="4B71A011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• measures to reduce geographical and occupational immobility </w:t>
      </w:r>
    </w:p>
    <w:p w14:paraId="611681A1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t xml:space="preserve">of labour </w:t>
      </w:r>
    </w:p>
    <w:p w14:paraId="3777F0BB" w14:textId="77777777" w:rsidR="001F34F0" w:rsidRPr="001F34F0" w:rsidRDefault="001F34F0" w:rsidP="001F34F0">
      <w:pPr>
        <w:rPr>
          <w:rFonts w:eastAsia="Times New Roman" w:cs="Times New Roman"/>
          <w:lang w:val="en-IE" w:eastAsia="zh-CN"/>
        </w:rPr>
      </w:pPr>
      <w:r w:rsidRPr="001F34F0">
        <w:rPr>
          <w:rFonts w:eastAsia="Times New Roman" w:cs="Times New Roman"/>
          <w:color w:val="000000"/>
          <w:lang w:val="en-IE" w:eastAsia="zh-CN"/>
        </w:rPr>
        <w:lastRenderedPageBreak/>
        <w:t>• measures to reduce discrimination and exploitation.</w:t>
      </w:r>
    </w:p>
    <w:p w14:paraId="7C4C457C" w14:textId="77777777" w:rsidR="001F34F0" w:rsidRPr="001F34F0" w:rsidRDefault="001F34F0">
      <w:pPr>
        <w:rPr>
          <w:b/>
          <w:bCs/>
          <w:sz w:val="36"/>
          <w:szCs w:val="36"/>
          <w:lang w:val="en-IE"/>
        </w:rPr>
      </w:pPr>
    </w:p>
    <w:sectPr w:rsidR="001F34F0" w:rsidRPr="001F34F0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1F34F0"/>
    <w:rsid w:val="009851F4"/>
    <w:rsid w:val="00BE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1032A1"/>
  <w14:defaultImageDpi w14:val="300"/>
  <w15:docId w15:val="{91C0EB34-359A-304A-A8A4-398AB54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1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1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7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5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84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39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4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4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4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2</cp:revision>
  <dcterms:created xsi:type="dcterms:W3CDTF">2014-01-14T12:04:00Z</dcterms:created>
  <dcterms:modified xsi:type="dcterms:W3CDTF">2023-02-24T05:38:00Z</dcterms:modified>
</cp:coreProperties>
</file>