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213A" w14:textId="0BDB69C4" w:rsidR="008F3415" w:rsidRPr="008F3415" w:rsidRDefault="008F3415" w:rsidP="008F3415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8F3415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4.6 Growth and development in developing, emerging and developed economies</w:t>
      </w:r>
    </w:p>
    <w:p w14:paraId="4D5C6DCB" w14:textId="3537E76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b/>
          <w:bCs/>
          <w:color w:val="000000"/>
          <w:lang w:val="en-IE" w:eastAsia="zh-CN"/>
        </w:rPr>
        <w:t xml:space="preserve">1 </w:t>
      </w:r>
      <w:r w:rsidRPr="008F3415">
        <w:rPr>
          <w:rFonts w:eastAsia="Times New Roman" w:cs="Times New Roman"/>
          <w:b/>
          <w:bCs/>
          <w:color w:val="000000"/>
          <w:lang w:val="en-IE" w:eastAsia="zh-CN"/>
        </w:rPr>
        <w:t xml:space="preserve">Measures of economic development </w:t>
      </w:r>
    </w:p>
    <w:p w14:paraId="32FE93D9" w14:textId="6D39900C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>a) The three components of the Human Development Index (HDI): education, health,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8F3415">
        <w:rPr>
          <w:rFonts w:eastAsia="Times New Roman" w:cs="Times New Roman"/>
          <w:color w:val="000000"/>
          <w:lang w:val="en-IE" w:eastAsia="zh-CN"/>
        </w:rPr>
        <w:t xml:space="preserve">income; how they are measured. </w:t>
      </w:r>
    </w:p>
    <w:p w14:paraId="5C7791C3" w14:textId="51136BAA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>b) Advantages and limitations of the HDI in comparing living standards between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8F3415">
        <w:rPr>
          <w:rFonts w:eastAsia="Times New Roman" w:cs="Times New Roman"/>
          <w:color w:val="000000"/>
          <w:lang w:val="en-IE" w:eastAsia="zh-CN"/>
        </w:rPr>
        <w:t xml:space="preserve">countries and over time. </w:t>
      </w:r>
    </w:p>
    <w:p w14:paraId="721FDB40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c) Other measures of development: </w:t>
      </w:r>
    </w:p>
    <w:p w14:paraId="4B2B184A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the percentage of adult male labour in agriculture </w:t>
      </w:r>
    </w:p>
    <w:p w14:paraId="4F4FBA68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access to clean water </w:t>
      </w:r>
    </w:p>
    <w:p w14:paraId="40AEF45C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energy consumption per capita </w:t>
      </w:r>
    </w:p>
    <w:p w14:paraId="12E13954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access to internet per thousand of population </w:t>
      </w:r>
    </w:p>
    <w:p w14:paraId="6560FF10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access to mobile phones per thousand of population </w:t>
      </w:r>
    </w:p>
    <w:p w14:paraId="552607D1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access to doctors per thousand of population. </w:t>
      </w:r>
    </w:p>
    <w:p w14:paraId="0ADBCDBF" w14:textId="77777777" w:rsidR="008F3415" w:rsidRDefault="008F3415" w:rsidP="008F3415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207D8570" w14:textId="2D17F341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b/>
          <w:bCs/>
          <w:color w:val="000000"/>
          <w:lang w:val="en-IE" w:eastAsia="zh-CN"/>
        </w:rPr>
        <w:t xml:space="preserve">2 Constraints on growth and development </w:t>
      </w:r>
    </w:p>
    <w:p w14:paraId="0A74D110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a) The impact of economic factors in different countries: </w:t>
      </w:r>
    </w:p>
    <w:p w14:paraId="3E850F35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volatility of commodity prices </w:t>
      </w:r>
    </w:p>
    <w:p w14:paraId="11A5272B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primary product dependency (the </w:t>
      </w:r>
      <w:proofErr w:type="spellStart"/>
      <w:r w:rsidRPr="008F3415">
        <w:rPr>
          <w:rFonts w:eastAsia="Times New Roman" w:cs="Times New Roman"/>
          <w:color w:val="000000"/>
          <w:lang w:val="en-IE" w:eastAsia="zh-CN"/>
        </w:rPr>
        <w:t>Prebisch</w:t>
      </w:r>
      <w:proofErr w:type="spellEnd"/>
      <w:r w:rsidRPr="008F3415">
        <w:rPr>
          <w:rFonts w:eastAsia="Times New Roman" w:cs="Times New Roman"/>
          <w:color w:val="000000"/>
          <w:lang w:val="en-IE" w:eastAsia="zh-CN"/>
        </w:rPr>
        <w:t xml:space="preserve">-Singer hypothesis) </w:t>
      </w:r>
    </w:p>
    <w:p w14:paraId="07DC57F8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>• savings gap (the Harrod-</w:t>
      </w:r>
      <w:proofErr w:type="spellStart"/>
      <w:r w:rsidRPr="008F3415">
        <w:rPr>
          <w:rFonts w:eastAsia="Times New Roman" w:cs="Times New Roman"/>
          <w:color w:val="000000"/>
          <w:lang w:val="en-IE" w:eastAsia="zh-CN"/>
        </w:rPr>
        <w:t>Domar</w:t>
      </w:r>
      <w:proofErr w:type="spellEnd"/>
      <w:r w:rsidRPr="008F3415">
        <w:rPr>
          <w:rFonts w:eastAsia="Times New Roman" w:cs="Times New Roman"/>
          <w:color w:val="000000"/>
          <w:lang w:val="en-IE" w:eastAsia="zh-CN"/>
        </w:rPr>
        <w:t xml:space="preserve"> model) </w:t>
      </w:r>
    </w:p>
    <w:p w14:paraId="2B27732D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foreign currency gap </w:t>
      </w:r>
    </w:p>
    <w:p w14:paraId="237A5406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capital flight </w:t>
      </w:r>
    </w:p>
    <w:p w14:paraId="4F0417DA" w14:textId="2D70D6A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demographic factors (size and age distribution of population; migration) </w:t>
      </w:r>
    </w:p>
    <w:p w14:paraId="6B13E953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debt (household and overseas) </w:t>
      </w:r>
    </w:p>
    <w:p w14:paraId="75EAFAE7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access to credit and banking </w:t>
      </w:r>
    </w:p>
    <w:p w14:paraId="52A86388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infrastructure </w:t>
      </w:r>
    </w:p>
    <w:p w14:paraId="20FF3CBD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education and skills. </w:t>
      </w:r>
    </w:p>
    <w:p w14:paraId="7AC9DA73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b) The impact of non-economic factors in different countries: </w:t>
      </w:r>
    </w:p>
    <w:p w14:paraId="2CCE6C08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corruption </w:t>
      </w:r>
    </w:p>
    <w:p w14:paraId="06134B4C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poor governance </w:t>
      </w:r>
    </w:p>
    <w:p w14:paraId="2D3C54AA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civil wars </w:t>
      </w:r>
    </w:p>
    <w:p w14:paraId="7E88BE1E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migration </w:t>
      </w:r>
    </w:p>
    <w:p w14:paraId="350F3464" w14:textId="5CE79C55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terrorism. </w:t>
      </w:r>
    </w:p>
    <w:p w14:paraId="6F711E33" w14:textId="77777777" w:rsidR="008F3415" w:rsidRDefault="008F3415" w:rsidP="008F3415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34793A97" w14:textId="66B7D374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b/>
          <w:bCs/>
          <w:color w:val="000000"/>
          <w:lang w:val="en-IE" w:eastAsia="zh-CN"/>
        </w:rPr>
        <w:t xml:space="preserve">3 Measures to promote growth and development </w:t>
      </w:r>
    </w:p>
    <w:p w14:paraId="29C9891A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a) The impact of market-orientated strategies: </w:t>
      </w:r>
    </w:p>
    <w:p w14:paraId="339D608B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trade liberalisation </w:t>
      </w:r>
    </w:p>
    <w:p w14:paraId="378D93E1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promotion of FDI </w:t>
      </w:r>
    </w:p>
    <w:p w14:paraId="4D6F0158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removal of government subsidies </w:t>
      </w:r>
    </w:p>
    <w:p w14:paraId="3693684F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privatisation </w:t>
      </w:r>
    </w:p>
    <w:p w14:paraId="50156249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floating exchange rate systems </w:t>
      </w:r>
    </w:p>
    <w:p w14:paraId="5F685E36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microfinance schemes. </w:t>
      </w:r>
    </w:p>
    <w:p w14:paraId="41F339B3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b) The impact of interventionist strategies: </w:t>
      </w:r>
    </w:p>
    <w:p w14:paraId="2AF95A13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development of human capital </w:t>
      </w:r>
    </w:p>
    <w:p w14:paraId="3B0160C5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protectionism </w:t>
      </w:r>
    </w:p>
    <w:p w14:paraId="3EEA458D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lastRenderedPageBreak/>
        <w:t xml:space="preserve">• managed exchange rates </w:t>
      </w:r>
    </w:p>
    <w:p w14:paraId="3C7AFFD9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infrastructure development </w:t>
      </w:r>
    </w:p>
    <w:p w14:paraId="55B60890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promoting joint ventures with TNCs </w:t>
      </w:r>
    </w:p>
    <w:p w14:paraId="43736942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buffer stock schemes. </w:t>
      </w:r>
    </w:p>
    <w:p w14:paraId="3D99E6DD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c) The impact of other strategies: </w:t>
      </w:r>
    </w:p>
    <w:p w14:paraId="543A769D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industrialisation (the Lewis structural dual-sector model) </w:t>
      </w:r>
    </w:p>
    <w:p w14:paraId="61E54611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development of tourism </w:t>
      </w:r>
    </w:p>
    <w:p w14:paraId="33BDDCA2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development of primary industries </w:t>
      </w:r>
    </w:p>
    <w:p w14:paraId="15C60041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debt relief </w:t>
      </w:r>
    </w:p>
    <w:p w14:paraId="68048970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aid. </w:t>
      </w:r>
    </w:p>
    <w:p w14:paraId="11198700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d) The role of international institutions: </w:t>
      </w:r>
    </w:p>
    <w:p w14:paraId="1B5CC167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the World Bank </w:t>
      </w:r>
    </w:p>
    <w:p w14:paraId="50743AF3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 xml:space="preserve">• the International Monetary Fund (IMF) </w:t>
      </w:r>
    </w:p>
    <w:p w14:paraId="16064E67" w14:textId="77777777" w:rsidR="008F3415" w:rsidRPr="008F3415" w:rsidRDefault="008F3415" w:rsidP="008F3415">
      <w:pPr>
        <w:rPr>
          <w:rFonts w:eastAsia="Times New Roman" w:cs="Times New Roman"/>
          <w:lang w:val="en-IE" w:eastAsia="zh-CN"/>
        </w:rPr>
      </w:pPr>
      <w:r w:rsidRPr="008F3415">
        <w:rPr>
          <w:rFonts w:eastAsia="Times New Roman" w:cs="Times New Roman"/>
          <w:color w:val="000000"/>
          <w:lang w:val="en-IE" w:eastAsia="zh-CN"/>
        </w:rPr>
        <w:t>• non-government organisations (NGOs).</w:t>
      </w:r>
    </w:p>
    <w:p w14:paraId="28B2D31F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8F3415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BA530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2023-02-24T05:59:00Z</dcterms:modified>
</cp:coreProperties>
</file>