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1700.7874015748032" w:firstLine="0"/>
        <w:jc w:val="both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ind w:left="1700.7874015748032" w:firstLine="0"/>
        <w:jc w:val="both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1700.7874015748032" w:firstLine="0"/>
        <w:jc w:val="both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1700.7874015748032" w:firstLine="0"/>
        <w:jc w:val="both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56"/>
          <w:szCs w:val="56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5c068c"/>
          <w:sz w:val="56"/>
          <w:szCs w:val="56"/>
          <w:u w:val="single"/>
          <w:rtl w:val="0"/>
        </w:rPr>
        <w:t xml:space="preserve">Práctica 01. Fundamentos procesador de consultas interactivo</w:t>
      </w:r>
      <w:r w:rsidDel="00000000" w:rsidR="00000000" w:rsidRPr="00000000">
        <w:rPr>
          <w:rFonts w:ascii="Montserrat Medium" w:cs="Montserrat Medium" w:eastAsia="Montserrat Medium" w:hAnsi="Montserrat Medium"/>
          <w:color w:val="5c068c"/>
          <w:sz w:val="56"/>
          <w:szCs w:val="5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5c068c"/>
          <w:sz w:val="48"/>
          <w:szCs w:val="48"/>
          <w:rtl w:val="0"/>
        </w:rPr>
        <w:t xml:space="preserve">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firstLine="0"/>
        <w:jc w:val="center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5c068c"/>
          <w:sz w:val="24"/>
          <w:szCs w:val="24"/>
          <w:rtl w:val="0"/>
        </w:rPr>
        <w:t xml:space="preserve">Cheuk Kelly Ng Pante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24"/>
          <w:szCs w:val="24"/>
        </w:rPr>
      </w:pPr>
      <w:hyperlink r:id="rId6">
        <w:r w:rsidDel="00000000" w:rsidR="00000000" w:rsidRPr="00000000">
          <w:rPr>
            <w:rFonts w:ascii="Montserrat Medium" w:cs="Montserrat Medium" w:eastAsia="Montserrat Medium" w:hAnsi="Montserrat Medium"/>
            <w:color w:val="1155cc"/>
            <w:sz w:val="24"/>
            <w:szCs w:val="24"/>
            <w:u w:val="single"/>
            <w:rtl w:val="0"/>
          </w:rPr>
          <w:t xml:space="preserve">alu0101364544@ull.edu.es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center"/>
        <w:rPr>
          <w:rFonts w:ascii="Montserrat Medium" w:cs="Montserrat Medium" w:eastAsia="Montserrat Medium" w:hAnsi="Montserrat Medium"/>
          <w:color w:val="5c068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7ldsj9bmwq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Gestión sesión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rrtczwke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Gestión buffer de instrucciones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s6s6g4k60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Gestión de scripts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irxou4z35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Gestión del entorno SQL*Plus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oajmine75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Gestión de variables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f6jk7krrrx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6.Gestión de resultados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9030"/>
            </w:tabs>
            <w:spacing w:after="80" w:before="200" w:line="240" w:lineRule="auto"/>
            <w:ind w:left="0" w:firstLine="0"/>
            <w:rPr>
              <w:rFonts w:ascii="Montserrat Medium" w:cs="Montserrat Medium" w:eastAsia="Montserrat Medium" w:hAnsi="Montserrat Medium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ageBreakBefore w:val="0"/>
        <w:rPr>
          <w:rFonts w:ascii="Montserrat Medium" w:cs="Montserrat Medium" w:eastAsia="Montserrat Medium" w:hAnsi="Montserrat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jc w:val="both"/>
        <w:rPr>
          <w:rFonts w:ascii="Montserrat Medium" w:cs="Montserrat Medium" w:eastAsia="Montserrat Medium" w:hAnsi="Montserrat Medium"/>
        </w:rPr>
      </w:pPr>
      <w:bookmarkStart w:colFirst="0" w:colLast="0" w:name="_u7ldsj9bmwq3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1. Gestión sesión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CONNECT: conecta al usuario con una base de datos.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PASSWORD: cambiar la contraseña de la base de datos.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DISCONNECT: desconectar de la base de datos.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EXIT: sale del programa.</w:t>
      </w:r>
    </w:p>
    <w:p w:rsidR="00000000" w:rsidDel="00000000" w:rsidP="00000000" w:rsidRDefault="00000000" w:rsidRPr="00000000" w14:paraId="0000001D">
      <w:pPr>
        <w:pStyle w:val="Heading1"/>
        <w:pageBreakBefore w:val="0"/>
        <w:spacing w:after="200" w:line="276" w:lineRule="auto"/>
        <w:jc w:val="both"/>
        <w:rPr>
          <w:rFonts w:ascii="Montserrat Medium" w:cs="Montserrat Medium" w:eastAsia="Montserrat Medium" w:hAnsi="Montserrat Medium"/>
        </w:rPr>
      </w:pPr>
      <w:bookmarkStart w:colFirst="0" w:colLast="0" w:name="_ndrrtczwkej" w:id="1"/>
      <w:bookmarkEnd w:id="1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2. Gestión buffer de instrucciones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LIST: enumera una o más líneas del comando SQL o bloque ejecutado más recientemente que se almacena en el buffer SQL.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INPUT: añade una o más líneas nuevas de texto después de la línea actual en el buffer.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APPEND: agrega el texto especificado al final de la línea actual en el buffer SQL.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CHANGE: cambia la primera aparición de antigua en la línea actual del buffer SQL.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DEL: elimina una o más líneas del buffer.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SAVE: guarda el contenido del buffer SQL en un archivo.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GET: carga una instrucción SQL o un bloque PL / SQL de un archivo al buffer SQL.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RUN: enumera y ejecuta el comando SQL ejecutado más recientemente o el bloque PL / SQL que se almacena en el buffer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jc w:val="both"/>
        <w:rPr>
          <w:rFonts w:ascii="Montserrat Medium" w:cs="Montserrat Medium" w:eastAsia="Montserrat Medium" w:hAnsi="Montserrat Medium"/>
        </w:rPr>
      </w:pPr>
      <w:bookmarkStart w:colFirst="0" w:colLast="0" w:name="_5as6s6g4k60n" w:id="2"/>
      <w:bookmarkEnd w:id="2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3. Gestión de scripts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EDIT: Para editar el contenido del buffer.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REMARK: Hace un comentario en un script.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START: ejecuta las sentencias SQL Plus en el script especificado.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COPY: copia datos de una consulta a una tabla en la misma base de datos o en otra.</w:t>
      </w:r>
    </w:p>
    <w:p w:rsidR="00000000" w:rsidDel="00000000" w:rsidP="00000000" w:rsidRDefault="00000000" w:rsidRPr="00000000" w14:paraId="0000002B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jc w:val="both"/>
        <w:rPr>
          <w:rFonts w:ascii="Montserrat Medium" w:cs="Montserrat Medium" w:eastAsia="Montserrat Medium" w:hAnsi="Montserrat Medium"/>
        </w:rPr>
      </w:pPr>
      <w:bookmarkStart w:colFirst="0" w:colLast="0" w:name="_lnirxou4z35t" w:id="3"/>
      <w:bookmarkEnd w:id="3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4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. Gestión del entorno SQL*Plus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DESCRIBE:Enumera las definiciones de columna para una tabla, vista o sinónimo, o las especificaciones para un función o procedimiento.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SPOOL: Almacena los resultados de la consulta en un archivo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SHOW: Muestra el valor de una variable del sistema SQLPlus o el entorno actual.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SET: Establece una variable de sistema para alterar la configuración del entorno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SQLPlus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 para su sesión.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HELP: Accede al sistema de ayuda de la línea de comandos.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HOST: Ejecuta un comando del sistema operativo sin salir de SQLPlus.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jc w:val="both"/>
        <w:rPr>
          <w:rFonts w:ascii="Montserrat Medium" w:cs="Montserrat Medium" w:eastAsia="Montserrat Medium" w:hAnsi="Montserrat Medium"/>
        </w:rPr>
      </w:pPr>
      <w:bookmarkStart w:colFirst="0" w:colLast="0" w:name="_ucoajmine75m" w:id="4"/>
      <w:bookmarkEnd w:id="4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5. Gestión de variables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DEFINE: Especifica una variable de sustitución y le asigna un valor CHAR, o enumera el valor y tipo de variable de una sola variable o de todas las variables.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UNDEFINE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Elimina una o más variables de sustitución que se definió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VARIABLE: Declara una variable de vinculación a la que se puede hacer referencia en PL / SQL, o enumera la pantalla actual características para una sola variable o todas las variables.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PRINT: Muestra los valores actuales de las variables de vinculación o enumera todas las variables de vinculación</w:t>
      </w:r>
    </w:p>
    <w:p w:rsidR="00000000" w:rsidDel="00000000" w:rsidP="00000000" w:rsidRDefault="00000000" w:rsidRPr="00000000" w14:paraId="0000003C">
      <w:pPr>
        <w:pStyle w:val="Heading1"/>
        <w:jc w:val="both"/>
        <w:rPr>
          <w:rFonts w:ascii="Montserrat Medium" w:cs="Montserrat Medium" w:eastAsia="Montserrat Medium" w:hAnsi="Montserrat Medium"/>
        </w:rPr>
      </w:pPr>
      <w:bookmarkStart w:colFirst="0" w:colLast="0" w:name="_6f6jk7krrrxo" w:id="5"/>
      <w:bookmarkEnd w:id="5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6.Gestión de resultados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PAUSE: Muestra el texto especificado y luego espera a que el usuario presione RETORNO.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TTITLE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Coloca y formatea un título específico en la parte superior de cada página del informe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BITTLE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: Coloca y formatea un título en la parte inferior de cada página del informe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both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COLUMN: Especifica los atributos de visualización para una columna determinada.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spacing w:after="200" w:line="276" w:lineRule="auto"/>
      <w:ind w:left="-425.1968503937008" w:firstLine="0"/>
      <w:jc w:val="both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sz w:val="20"/>
        <w:szCs w:val="20"/>
      </w:rPr>
      <w:drawing>
        <wp:inline distB="114300" distT="114300" distL="114300" distR="114300">
          <wp:extent cx="1104900" cy="4762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8318" l="0" r="0" t="27433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ageBreakBefore w:val="0"/>
      <w:spacing w:after="200" w:line="276" w:lineRule="auto"/>
      <w:ind w:left="-425.1968503937008" w:firstLine="0"/>
      <w:jc w:val="both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spacing w:after="200" w:line="240" w:lineRule="auto"/>
      <w:ind w:left="-425.1968503937008" w:firstLine="0"/>
      <w:jc w:val="both"/>
      <w:rPr/>
    </w:pPr>
    <w:r w:rsidDel="00000000" w:rsidR="00000000" w:rsidRPr="00000000">
      <w:rPr/>
      <w:drawing>
        <wp:inline distB="114300" distT="114300" distL="114300" distR="114300">
          <wp:extent cx="2871788" cy="713431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6639" l="9966" r="3322" t="20081"/>
                  <a:stretch>
                    <a:fillRect/>
                  </a:stretch>
                </pic:blipFill>
                <pic:spPr>
                  <a:xfrm>
                    <a:off x="0" y="0"/>
                    <a:ext cx="2871788" cy="71343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alu0101364544@ull.edu.es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