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1A"/>
          <w:sz w:val="40"/>
        </w:rPr>
        <w:t>产品分析 — 指标计算说明</w:t>
      </w:r>
    </w:p>
    <w:p>
      <w:r>
        <w:rPr>
          <w:color w:val="1890FF"/>
          <w:sz w:val="20"/>
        </w:rPr>
        <w:t>对应页面: /product-analysis</w:t>
      </w:r>
    </w:p>
    <w:p>
      <w:pPr>
        <w:pStyle w:val="Heading2"/>
      </w:pPr>
      <w:r>
        <w:rPr>
          <w:sz w:val="32"/>
        </w:rPr>
        <w:t>产品分析 — 指标计算说明</w:t>
      </w:r>
    </w:p>
    <w:p>
      <w:pPr>
        <w:pStyle w:val="Heading3"/>
      </w:pPr>
      <w:r>
        <w:rPr>
          <w:sz w:val="32"/>
        </w:rPr>
        <w:t>一、页面概览</w:t>
      </w:r>
    </w:p>
    <w:p>
      <w:r>
        <w:rPr>
          <w:sz w:val="22"/>
        </w:rPr>
        <w:t>产品分析页面用于按产品线及销售产品维度拆解分析收入、毛利贡献及结构风险。该页面支持对比各产品线的业务贡献度及毛利率水平，帮助财务及业务人员识别高贡献产品线与低效产品线。</w:t>
      </w:r>
    </w:p>
    <w:p>
      <w:r>
        <w:rPr>
          <w:b/>
          <w:sz w:val="22"/>
        </w:rPr>
        <w:t>数据维度：</w:t>
      </w:r>
      <w:r>
        <w:rPr>
          <w:sz w:val="22"/>
        </w:rPr>
        <w:t xml:space="preserve"> 产品线维度（product_line）或销售产品维度（sales_product）+ 财务指标（收入、毛利、毛利率、负毛利分析）</w:t>
      </w:r>
    </w:p>
    <w:p>
      <w:r>
        <w:rPr>
          <w:b/>
          <w:sz w:val="22"/>
        </w:rPr>
        <w:t>支持的筛选条件：</w:t>
      </w:r>
      <w:r>
        <w:rPr>
          <w:sz w:val="22"/>
        </w:rPr>
        <w:t xml:space="preserve"> 期间维度（月度/季度/年累计/自定义）、报告期、对比基期（同比/环比）、产品线、二级维度（客户/合同类型）</w:t>
      </w:r>
    </w:p>
    <w:p/>
    <w:p>
      <w:pPr>
        <w:pStyle w:val="Heading3"/>
      </w:pPr>
      <w:r>
        <w:rPr>
          <w:sz w:val="32"/>
        </w:rPr>
        <w:t>二、指标列表</w:t>
      </w:r>
    </w:p>
    <w:p>
      <w:pPr>
        <w:pStyle w:val="Heading4"/>
      </w:pPr>
      <w:r>
        <w:rPr>
          <w:sz w:val="28"/>
        </w:rPr>
        <w:t>（一）核心 KPI 指标（页面顶部概览）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选定期间内所有产品线（或指定产品线）的毛利总额，即营业收入减去不含税成本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期间汇总表按期间聚合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万元，保留整数（KPI卡片）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毛利额占营业收入的百分比，反映整体盈利水平。计算公式：毛利额 / 营业收入 x 100%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由毛利额与营业收入计算得出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负毛利产品（毛利率为负的产品）的数量占总产品数量的百分比。用于识别亏损产品的覆盖面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由产品线维度明细数据计算得出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</w:tbl>
    <w:p/>
    <w:p>
      <w:pPr>
        <w:pStyle w:val="Heading4"/>
      </w:pPr>
      <w:r>
        <w:rPr>
          <w:sz w:val="28"/>
        </w:rPr>
        <w:t>（二）明细层指标（产品线/销售产品明细表）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该维度项在选定期间内的营业收入总额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revenue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收入贡献度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该维度项的收入占总收入的百分比，反映该项对整体收入的贡献程度。计算公式：该项收入 / 总收入 x 100%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revenue_contribution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该维度项在选定期间内的毛利总额，即收入减去不含税成本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gross_profit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该维度项的毛利占总毛利的百分比，反映该项对整体毛利的贡献程度。计算公式：该项毛利 / 总毛利 x 100%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gross_margin_contribution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该维度项的盈利水平，计算公式：毛利 / 收入 x 100%。反映每单位收入中有多少是毛利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gross_margin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百分比，保留两位小数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负毛利产品数量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该维度项下毛利率为负的订单/产品数量。用于识别哪些产品或客户存在亏损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neg_margin_order_count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负毛利金额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该维度项下负毛利部分的金额合计（即亏损金额）。用于量化亏损规模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接口返回（breakdowns 中对应记录的 neg_margin_amount 字段）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万元，保留两位小数</w:t>
            </w:r>
          </w:p>
        </w:tc>
      </w:tr>
    </w:tbl>
    <w:p/>
    <w:p>
      <w:pPr>
        <w:pStyle w:val="Heading4"/>
      </w:pPr>
      <w:r>
        <w:rPr>
          <w:sz w:val="28"/>
        </w:rPr>
        <w:t>（三）趋势分析指标（用于同比/环比展示）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毛利额同比增长率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（当期毛利额 - 去年同期毛利额）/ 去年同期毛利额 x 100%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由当期与去年同期数据计算得出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毛利率同比变化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当期毛利率 - 去年同期毛利率。单位为百分点（pp）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由当期与去年同期毛利率差值计算得出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负毛利产品占比同比变化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当期负毛利产品占比 - 去年同期负毛利产品占比。单位为百分点（pp）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由当期与去年同期数据计算得出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收入环比增长率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（当期收入 - 上期收入）/ 上期收入 x 100%。对比基期选择"环比"时展示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由当期与上期数据计算得出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毛利额环比增长率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（当期毛利额 - 上期毛利额）/ 上期毛利额 x 100%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由当期与上期数据计算得出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毛利率环比变化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当期毛利率 - 上期毛利率。单位为百分点（pp）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由当期与上期毛利率差值计算得出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负毛利产品占比环比变化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当期负毛利产品占比 - 上期负毛利产品占比。单位为百分点（pp）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由当期与上期数据计算得出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</w:tbl>
    <w:p/>
    <w:p/>
    <w:p>
      <w:pPr>
        <w:pStyle w:val="Heading3"/>
      </w:pPr>
      <w:r>
        <w:rPr>
          <w:sz w:val="32"/>
        </w:rPr>
        <w:t>三、筛选条件说明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筛选条件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影响范围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报告期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字符串（如 "2025Q1"、"2025M01" 等）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选择具体的期间。配合周期维度使用，决定数据的时间范围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过滤所有指标，仅保留该报告期相关数据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对比基期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枚举（同比/环比/自定义期间）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同比：与去年同期对比；环比：与上一期对比；自定义期间：手动选择对比区间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影响趋势指标（增长率、变化值）的计算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产品线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字符串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选择要分析的具体产品线。未选择时展示公司整体数据，选择后仅展示该产品线数据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过滤所有指标及明细数据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二级维度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枚举（客户/合同类型）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仅在未钻取状态下可用，决定明细表按客户维度还是合同类型维度展示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sz w:val="20"/>
              </w:rPr>
              <w:t>仅影响明细表的分组方式</w:t>
            </w:r>
          </w:p>
        </w:tc>
      </w:tr>
    </w:tbl>
    <w:p/>
    <w:p/>
    <w:p>
      <w:pPr>
        <w:pStyle w:val="Heading3"/>
      </w:pPr>
      <w:r>
        <w:rPr>
          <w:sz w:val="32"/>
        </w:rPr>
        <w:t>四、注意事项</w:t>
      </w:r>
    </w:p>
    <w:p/>
    <w:p>
      <w:pPr>
        <w:pStyle w:val="ListNumber"/>
      </w:pPr>
      <w:r>
        <w:rPr>
          <w:sz w:val="22"/>
        </w:rPr>
        <w:t>**金额单位：** 前端展示的收入、毛利均以"万元"为单位。KPI 卡片默认显示整数，明细表中保留两位小数。后端返回的原始数值需经 `toWan()` 或 `formatWan(value, 2)` 转换。</w:t>
      </w:r>
    </w:p>
    <w:p/>
    <w:p>
      <w:pPr>
        <w:pStyle w:val="ListNumber"/>
      </w:pPr>
      <w:r>
        <w:rPr>
          <w:sz w:val="22"/>
        </w:rPr>
        <w:t>**毛利率计算：**</w:t>
      </w:r>
    </w:p>
    <w:p>
      <w:pPr>
        <w:ind w:left="850"/>
      </w:pPr>
      <w:r>
        <w:rPr>
          <w:sz w:val="22"/>
        </w:rPr>
        <w:t>- 接口返回的毛利率为比值形式（0~1），前端展示时通过 `formatPercent()` 转换为百分比。</w:t>
      </w:r>
    </w:p>
    <w:p>
      <w:pPr>
        <w:ind w:left="850"/>
      </w:pPr>
      <w:r>
        <w:rPr>
          <w:sz w:val="22"/>
        </w:rPr>
        <w:t>- 若收入为零或成本数据缺失，毛利率无法计算，应显示为空。</w:t>
      </w:r>
    </w:p>
    <w:p/>
    <w:p>
      <w:pPr>
        <w:pStyle w:val="ListNumber"/>
      </w:pPr>
      <w:r>
        <w:rPr>
          <w:sz w:val="22"/>
        </w:rPr>
        <w:t>**部门权限控制：** 所有数据均按用户的部门权限（bgbu 字段）过滤。非管理员用户只能看到其所属部门的数据，管理员用户可看到全部部门数据（bgbu = 'ALL'）。部门权限由登录用户的 `user.department` 和 `user.role` 参数决定。</w:t>
      </w:r>
    </w:p>
    <w:p/>
    <w:p>
      <w:pPr>
        <w:pStyle w:val="ListNumber"/>
      </w:pPr>
      <w:r>
        <w:rPr>
          <w:sz w:val="22"/>
        </w:rPr>
        <w:t>**报告期匹配规则：** reportId 采用前缀匹配方式（`LIKE '{report_id}%'`），例如 reportId 为 "2025" 时，会匹配 "2025Q1"、"2025M01" 等所有以 "2025" 开头的期间。</w:t>
      </w:r>
    </w:p>
    <w:p/>
    <w:p>
      <w:pPr>
        <w:pStyle w:val="ListNumber"/>
      </w:pPr>
      <w:r>
        <w:rPr>
          <w:sz w:val="22"/>
        </w:rPr>
        <w:t>**钻取机制：** 点击产品线明细表中的产品名称，可钻取到销售产品名称层级。钻取后，KPI 指标和明细数据均按该销售产品重新聚合。顶部会出现"返回产品线"按钮。</w:t>
      </w:r>
    </w:p>
    <w:p/>
    <w:p>
      <w:pPr>
        <w:pStyle w:val="ListNumber"/>
      </w:pPr>
      <w:r>
        <w:rPr>
          <w:sz w:val="22"/>
        </w:rPr>
        <w:t>**同比与环比说明：**</w:t>
      </w:r>
    </w:p>
    <w:p>
      <w:pPr>
        <w:ind w:left="850"/>
      </w:pPr>
      <w:r>
        <w:rPr>
          <w:sz w:val="22"/>
        </w:rPr>
        <w:t>- 同比（YoY）：(当期值 - 去年同期值) / 去年同期值 x 100%</w:t>
      </w:r>
    </w:p>
    <w:p>
      <w:pPr>
        <w:ind w:left="850"/>
      </w:pPr>
      <w:r>
        <w:rPr>
          <w:sz w:val="22"/>
        </w:rPr>
        <w:t>- 环比（MoM）：(当期值 - 上期值) / 上期值 x 100%</w:t>
      </w:r>
    </w:p>
    <w:p>
      <w:pPr>
        <w:ind w:left="850"/>
      </w:pPr>
      <w:r>
        <w:rPr>
          <w:sz w:val="22"/>
        </w:rPr>
        <w:t>- 选择产品线筛选后，同比/环比的分母（基期数据）也按相同产品线过滤，确保对比口径一致。未选择时使用公司整体数据。</w:t>
      </w:r>
    </w:p>
    <w:p>
      <w:pPr>
        <w:ind w:left="850"/>
      </w:pPr>
      <w:r>
        <w:rPr>
          <w:sz w:val="22"/>
        </w:rPr>
        <w:t>- 增长率超过100%属于正常现象，表示当期收入超过基期一倍以上。</w:t>
      </w:r>
    </w:p>
    <w:p/>
    <w:p>
      <w:pPr>
        <w:pStyle w:val="ListNumber"/>
      </w:pPr>
      <w:r>
        <w:rPr>
          <w:sz w:val="22"/>
        </w:rPr>
        <w:t>**数据聚合层级：** 产品分析页面通过核心指标接口（`GET /metrics/core`）获取数据，支持两种维度：`product_line`（产品线层）和 `sales_product`（销售产品层，钻取状态下使用）。明细数据通过 breakdowns 字段返回，包含收入、毛利、毛利率及贡献度等指标。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