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A1A1A"/>
          <w:sz w:val="40"/>
        </w:rPr>
        <w:t>变动分析 — 指标计算说明</w:t>
      </w:r>
    </w:p>
    <w:p>
      <w:r>
        <w:rPr>
          <w:color w:val="1890FF"/>
          <w:sz w:val="20"/>
        </w:rPr>
        <w:t>对应页面: /metrics</w:t>
      </w:r>
    </w:p>
    <w:p>
      <w:pPr>
        <w:pStyle w:val="Heading2"/>
      </w:pPr>
      <w:r>
        <w:rPr>
          <w:sz w:val="32"/>
        </w:rPr>
        <w:t>变动分析 — 指标计算说明</w:t>
      </w:r>
    </w:p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**版本**: 2026-05-27 修订</w:t>
      </w:r>
    </w:p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**适用范围**: 变动分析(/metrics)、趋势分析(/trend-analysis)、部门分析(/department-analysis)、产品分析(/product-analysis)、客户分析(/customer-analysis) 页面</w:t>
      </w:r>
    </w:p>
    <w:p/>
    <w:p>
      <w:pPr>
        <w:pStyle w:val="Heading3"/>
      </w:pPr>
      <w:r>
        <w:rPr>
          <w:sz w:val="32"/>
        </w:rPr>
        <w:t>一、页面概览</w:t>
      </w:r>
    </w:p>
    <w:p>
      <w:r>
        <w:rPr>
          <w:sz w:val="22"/>
        </w:rPr>
        <w:t>系统财务分析模块包含以下五个分析页面，共享同一套后端指标接口（</w:t>
      </w:r>
      <w:r>
        <w:rPr>
          <w:rFonts w:ascii="Consolas" w:hAnsi="Consolas"/>
          <w:color w:val="C7254E"/>
          <w:sz w:val="20"/>
        </w:rPr>
        <w:t>/api/core-metrics</w:t>
      </w:r>
      <w:r>
        <w:rPr>
          <w:sz w:val="22"/>
        </w:rPr>
        <w:t>）：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页面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路由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核心分析目标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趋势分析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`/trend-analysis`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收入、毛利、毛利率的时序趋势（月度/季度/累计）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部门分析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`/department-analysis`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各部门收入、毛利贡献与经营效率，支持钻取到产品线/客户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产品分析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`/product-analysis`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产品线收入、毛利贡献与结构风险，支持钻取到销售产品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客户分析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`/customer-analysis`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客户收入、毛利贡献与集中度风险，支持钻取到销售产品</w:t>
            </w:r>
          </w:p>
        </w:tc>
      </w:tr>
    </w:tbl>
    <w:p/>
    <w:p>
      <w:r>
        <w:rPr>
          <w:b/>
          <w:sz w:val="22"/>
        </w:rPr>
        <w:t>通用筛选条件</w:t>
      </w:r>
      <w:r>
        <w:rPr>
          <w:sz w:val="22"/>
        </w:rPr>
        <w:t xml:space="preserve">：期间（月度/季度/累计/自定义）、业务部门（BGBU）、产品线、客户维度等（具体筛选项以后端 </w:t>
      </w:r>
      <w:r>
        <w:rPr>
          <w:rFonts w:ascii="Consolas" w:hAnsi="Consolas"/>
          <w:color w:val="C7254E"/>
          <w:sz w:val="20"/>
        </w:rPr>
        <w:t>/api/filters</w:t>
      </w:r>
      <w:r>
        <w:rPr>
          <w:sz w:val="22"/>
        </w:rPr>
        <w:t xml:space="preserve"> 接口返回为准）。</w:t>
      </w:r>
    </w:p>
    <w:p>
      <w:r>
        <w:rPr>
          <w:b/>
          <w:sz w:val="22"/>
        </w:rPr>
        <w:t>同比/环比说明：</w:t>
      </w:r>
    </w:p>
    <w:p/>
    <w:p>
      <w:pPr>
        <w:pStyle w:val="ListBullet"/>
      </w:pPr>
      <w:r>
        <w:rPr>
          <w:sz w:val="22"/>
        </w:rPr>
        <w:t>**同比（YoY）**：对比去年同期同一期间。例如选择 2026年Q1，则对比 2025年Q1。</w:t>
      </w:r>
    </w:p>
    <w:p>
      <w:pPr>
        <w:pStyle w:val="ListBullet"/>
      </w:pPr>
      <w:r>
        <w:rPr>
          <w:sz w:val="22"/>
        </w:rPr>
        <w:t>**环比（MoM）**：对比上一个相邻期间。例如选择 2026年2月，则对比 2026年1月；选择 2026年Q2，则对比 2026年Q1。</w:t>
      </w:r>
    </w:p>
    <w:p/>
    <w:p>
      <w:pPr>
        <w:pStyle w:val="Heading3"/>
      </w:pPr>
      <w:r>
        <w:rPr>
          <w:sz w:val="32"/>
        </w:rPr>
        <w:t>二、指标列表</w:t>
      </w:r>
    </w:p>
    <w:p>
      <w:pPr>
        <w:pStyle w:val="Heading4"/>
      </w:pPr>
      <w:r>
        <w:rPr>
          <w:sz w:val="28"/>
        </w:rPr>
        <w:t>1. 核心财务指标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tax_excluded_cost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营业成本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选定期间内不含税（税免）成本总额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金额，单位"万元"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gross_profit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营业收入减去营业成本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金额，单位"万元"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gross_margin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 / 营业收入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百分比，2位小数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gross_margin_yoy_change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毛利率同比变动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本期毛利率 - 去年同期毛利率，单位为百分点（pp）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百分点，2位小数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gross_margin_mom_change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毛利率环比变动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本期毛利率 - 上期毛利率，单位为百分点（pp）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百分点，2位小数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gross_margin_contribution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毛利贡献度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公司整体维度固定为 100%；拆分维度时 = 该维度毛利额 / 总毛利额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 / agg_dimension_summary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</w:tbl>
    <w:p/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**术语说明**：前端"营业成本"与"不含税成本"均指同一字段 `tax_excluded_cost`，即税免后的成本金额。</w:t>
      </w:r>
    </w:p>
    <w:p>
      <w:pPr>
        <w:pStyle w:val="Heading4"/>
      </w:pPr>
      <w:r>
        <w:rPr>
          <w:sz w:val="28"/>
        </w:rPr>
        <w:t>2. 增长率指标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revenue_mom_growth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收入环比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（本期收入 - 上期收入）/ 上期收入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cost_yoy_growth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成本同比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（本期成本 - 去年同期成本）/ 去年同期成本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gross_profit_yoy_growth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毛利额同比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（本期毛利润 - 去年同期毛利润）/ 去年同期毛利润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gross_profit_mom_growth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毛利额环比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（本期毛利润 - 上期毛利润）/ 上期毛利润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order_count_yoy_growth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订单数同比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（本期订单数 - 去年同期订单数）/ 去年同期订单数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order_count_mom_growth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订单数环比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（本期订单数 - 上期订单数）/ 上期订单数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revenue_consecutive_growth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收入连续增长期数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从最近一期往前数，收入环比增长率持续为正的期数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趋势序列计算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整数（仅非月度维度展示）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gross_profit_consecutive_growth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毛利连续增长期数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从最近一期往前数，毛利润环比增长率持续为正的期数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趋势序列计算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整数（仅非月度维度展示）</w:t>
            </w:r>
          </w:p>
        </w:tc>
      </w:tr>
    </w:tbl>
    <w:p/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**注意**：当基期数据为零或接近零时，增长率指标无实际意义，系统予以标注。</w:t>
      </w:r>
    </w:p>
    <w:p>
      <w:pPr>
        <w:pStyle w:val="Heading4"/>
      </w:pPr>
      <w:r>
        <w:rPr>
          <w:sz w:val="28"/>
        </w:rPr>
        <w:t>3. 基数指标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base_gross_profit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对比期毛利基数（同比）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去年同期（上年同期期间）的毛利润总额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金额</w:t>
            </w:r>
          </w:p>
        </w:tc>
      </w:tr>
    </w:tbl>
    <w:p/>
    <w:p>
      <w:pPr>
        <w:pStyle w:val="Heading4"/>
      </w:pPr>
      <w:r>
        <w:rPr>
          <w:sz w:val="28"/>
        </w:rPr>
        <w:t>4. 集中度指标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customer_concentration_top3_change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客户集中度 Top3 环比变化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本期客户集中度 Top3 - 上期客户集中度 Top3，单位为百分点（pp）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agg_dimension_summary (dim_type=customer)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product_concentration_top10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产品集中度 Top10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收入排名前十的产品收入之和 / 全部产品总收入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agg_dimension_summary (dim_type=sales_product)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百分比，2位小数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top_customer_share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单客户最高占比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收入最高的单一客户收入 / 全部客户总收入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agg_dimension_summary (dim_type=customer)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百分比，2位小数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product_concentration_top3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产品集中度 Top3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收入排名前三的产品收入之和 / 全部产品总收入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agg_dimension_summary (dim_type=sales_product)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</w:tbl>
    <w:p/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**说明**：</w:t>
      </w:r>
    </w:p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- 产品集中度实际按**收入**排名和计算（非毛利），前端部分卡片副标题显示"毛利占比"为前端标签待修正。</w:t>
      </w:r>
    </w:p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- 客户集中度 Top3 数值在后端计算，但变动分析页面仅展示 Top10，Top3 用于环比变化计算。</w:t>
      </w:r>
    </w:p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- 分母范围：若筛选了特定业务部门，分母仅包含该部门下的客户/产品。</w:t>
      </w:r>
    </w:p>
    <w:p>
      <w:pPr>
        <w:pStyle w:val="Heading4"/>
      </w:pPr>
      <w:r>
        <w:rPr>
          <w:sz w:val="28"/>
        </w:rPr>
        <w:t>5. 订单质量指标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order_count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订单数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选定期间内不同订单的去重数量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agg_order_summary / 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整数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loss_ratio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亏损订单率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毛利润为负的订单数 / 全部订单数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agg_order_summary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</w:t>
            </w:r>
          </w:p>
        </w:tc>
      </w:tr>
    </w:tbl>
    <w:p/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**注意**：高毛利订单占比是"订单数量比"，不是"金额比"。单笔订单毛利率 = (收入 - 成本) / 收入 x 100%。</w:t>
      </w:r>
    </w:p>
    <w:p>
      <w:pPr>
        <w:pStyle w:val="Heading4"/>
      </w:pPr>
      <w:r>
        <w:rPr>
          <w:sz w:val="28"/>
        </w:rPr>
        <w:t>6. 市场线（业务线）指标</w:t>
      </w:r>
    </w:p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**术语说明**：后端字段使用 `core_market_line` / `highest_value_market_line`，前端展示为"核心市场线"/"最具价值市场线"。业务部门在系统中也称"市场线"（BG/BU）。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core_market_line_revenue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核心市场线收入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核心市场线对应的收入金额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金额，单位"万元"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highest_value_market_line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最具价值市场线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毛利润最高的业务部门（BG/BU）名称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agg_period_summary（按部门聚合）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文本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highest_value_market_profit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最具价值市场线毛利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最具价值市场线对应的毛利润金额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金额，单位"万元"</w:t>
            </w:r>
          </w:p>
        </w:tc>
      </w:tr>
    </w:tbl>
    <w:p/>
    <w:p>
      <w:pPr>
        <w:pStyle w:val="Heading4"/>
      </w:pPr>
      <w:r>
        <w:rPr>
          <w:sz w:val="28"/>
        </w:rPr>
        <w:t>7. 直签客户指标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direct_sign_revenue_pct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直签客户收入占比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直签客户收入 / 全部营业收入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百分比，2位小数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direct_sign_profit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直签客户毛利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直签客户渠道的毛利润总额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金额，单位"万元"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direct_sign_margin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直签客户毛利率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直签客户毛利润 / 直签客户收入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agg_period_summary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百分比，2位小数</w:t>
            </w:r>
          </w:p>
        </w:tc>
      </w:tr>
    </w:tbl>
    <w:p/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**注意**：直签客户指标仅在公司/部门维度计算，产品线或客户筛选时不展示。</w:t>
      </w:r>
    </w:p>
    <w:p>
      <w:pPr>
        <w:pStyle w:val="Heading4"/>
      </w:pPr>
      <w:r>
        <w:rPr>
          <w:sz w:val="28"/>
        </w:rPr>
        <w:t>8. 负毛利分析指标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negative_margin_order_amount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负毛利订单金额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所有负毛利订单的毛利润之和（负值）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agg_order_summary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金额，单位"万元"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negative_margin_order_yoy_change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负毛利订单占比同比变化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本期占比 - 去年同期占比，单位为百分点（pp）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agg_order_summary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negative_margin_order_mom_change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负毛利订单占比环比变化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本期占比 - 上期占比，单位为百分点（pp）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agg_order_summary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negative_margin_product_ratio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负毛利产品占比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毛利润为负的产品数 / 全部产品数 x 100%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agg_dimension_summary (dim_type=sales_product)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百分比，2位小数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negative_margin_product_amount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负毛利产品金额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所有负毛利产品的毛利润之和（负值）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agg_dimension_summary (dim_type=sales_product)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金额，单位"万元"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negative_margin_product_yoy_change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负毛利产品占比同比变化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本期占比 - 去年同期占比，单位为百分点（pp）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agg_dimension_summary (dim_type=sales_product)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negative_margin_product_mom_change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负毛利产品占比环比变化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本期占比 - 上期占比，单位为百分点（pp）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agg_dimension_summary (dim_type=sales_product)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</w:t>
            </w:r>
          </w:p>
        </w:tc>
      </w:tr>
    </w:tbl>
    <w:p/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**注意**：负毛利金额为负值，表示亏损金额。产品维度仅在公司/部门层级计算，产品线筛选时不展示。</w:t>
      </w:r>
    </w:p>
    <w:p>
      <w:pPr>
        <w:pStyle w:val="Heading4"/>
      </w:pPr>
      <w:r>
        <w:rPr>
          <w:sz w:val="28"/>
        </w:rPr>
        <w:t>9. 波动率指标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gross_margin_volatility_change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毛利率波动率变化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包含全部期间的波动率 - 剔除最近一期后的波动率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趋势序列计算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百分点，2位小数</w:t>
            </w:r>
          </w:p>
        </w:tc>
      </w:tr>
    </w:tbl>
    <w:p/>
    <w:p>
      <w:pPr>
        <w:pStyle w:val="Heading4"/>
      </w:pPr>
      <w:r>
        <w:rPr>
          <w:sz w:val="28"/>
        </w:rPr>
        <w:t>10. 毛利率变动拆解指标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</w:tcPr>
          <w:p>
            <w:r>
              <w:t>指标名称</w:t>
            </w:r>
          </w:p>
        </w:tc>
        <w:tc>
          <w:tcPr>
            <w:tcW w:type="dxa" w:w="1417"/>
          </w:tcPr>
          <w:p>
            <w:r>
              <w:t>前端展示名称</w:t>
            </w:r>
          </w:p>
        </w:tc>
        <w:tc>
          <w:tcPr>
            <w:tcW w:type="dxa" w:w="4535"/>
          </w:tcPr>
          <w:p>
            <w:r>
              <w:t>计算说明</w:t>
            </w:r>
          </w:p>
        </w:tc>
        <w:tc>
          <w:tcPr>
            <w:tcW w:type="dxa" w:w="2268"/>
          </w:tcPr>
          <w:p>
            <w:r>
              <w:t>数据来源</w:t>
            </w:r>
          </w:p>
        </w:tc>
        <w:tc>
          <w:tcPr>
            <w:tcW w:type="dxa" w:w="1701"/>
          </w:tcPr>
          <w:p>
            <w:r>
              <w:t>格式</w:t>
            </w:r>
          </w:p>
        </w:tc>
      </w:tr>
      <w:tr>
        <w:tc>
          <w:tcPr>
            <w:tcW w:type="dxa" w:w="2268"/>
          </w:tcPr>
          <w:p>
            <w:r>
              <w:t>structure_impact</w:t>
            </w:r>
          </w:p>
        </w:tc>
        <w:tc>
          <w:tcPr>
            <w:tcW w:type="dxa" w:w="1417"/>
          </w:tcPr>
          <w:p>
            <w:r>
              <w:t>结构影响</w:t>
            </w:r>
          </w:p>
        </w:tc>
        <w:tc>
          <w:tcPr>
            <w:tcW w:type="dxa" w:w="4535"/>
          </w:tcPr>
          <w:p>
            <w:r>
              <w:t>某维度的收入占比变化对整体毛利率的影响 =（本期收入占比 - 对比期收入占比）x 对比期该维度毛利率 / 100</w:t>
            </w:r>
          </w:p>
        </w:tc>
        <w:tc>
          <w:tcPr>
            <w:tcW w:type="dxa" w:w="2268"/>
          </w:tcPr>
          <w:p>
            <w:r>
              <w:t>agg_dimension_summary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百分点，2位小数</w:t>
            </w:r>
          </w:p>
        </w:tc>
      </w:tr>
      <w:tr>
        <w:tc>
          <w:tcPr>
            <w:tcW w:type="dxa" w:w="2268"/>
          </w:tcPr>
          <w:p>
            <w:r>
              <w:t>margin_impact</w:t>
            </w:r>
          </w:p>
        </w:tc>
        <w:tc>
          <w:tcPr>
            <w:tcW w:type="dxa" w:w="1417"/>
          </w:tcPr>
          <w:p>
            <w:r>
              <w:t>利润率影响</w:t>
            </w:r>
          </w:p>
        </w:tc>
        <w:tc>
          <w:tcPr>
            <w:tcW w:type="dxa" w:w="4535"/>
          </w:tcPr>
          <w:p>
            <w:r>
              <w:t>某维度自身毛利率变化对整体毛利率的影响 = 本期该维度收入占比 x（本期毛利率 - 对比期毛利率）/ 100</w:t>
            </w:r>
          </w:p>
        </w:tc>
        <w:tc>
          <w:tcPr>
            <w:tcW w:type="dxa" w:w="2268"/>
          </w:tcPr>
          <w:p>
            <w:r>
              <w:t>agg_dimension_summary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百分点，2位小数</w:t>
            </w:r>
          </w:p>
        </w:tc>
      </w:tr>
      <w:tr>
        <w:tc>
          <w:tcPr>
            <w:tcW w:type="dxa" w:w="2268"/>
          </w:tcPr>
          <w:p>
            <w:r>
              <w:t>total_impact</w:t>
            </w:r>
          </w:p>
        </w:tc>
        <w:tc>
          <w:tcPr>
            <w:tcW w:type="dxa" w:w="1417"/>
          </w:tcPr>
          <w:p>
            <w:r>
              <w:t>总影响</w:t>
            </w:r>
          </w:p>
        </w:tc>
        <w:tc>
          <w:tcPr>
            <w:tcW w:type="dxa" w:w="4535"/>
          </w:tcPr>
          <w:p>
            <w:r>
              <w:t>结构影响 + 利润率影响，表示该维度对整体毛利率变化的全部影响</w:t>
            </w:r>
          </w:p>
        </w:tc>
        <w:tc>
          <w:tcPr>
            <w:tcW w:type="dxa" w:w="2268"/>
          </w:tcPr>
          <w:p>
            <w:r>
              <w:t>agg_dimension_summary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百分点，2位小数</w:t>
            </w:r>
          </w:p>
        </w:tc>
      </w:tr>
    </w:tbl>
    <w:p>
      <w:pPr>
        <w:pStyle w:val="Heading4"/>
      </w:pPr>
      <w:r>
        <w:rPr>
          <w:sz w:val="28"/>
        </w:rPr>
        <w:t>11. 毛利率变动汇总指标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continuing_structure_impact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持续经营结构影响总和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Σ(c_share - p_share) × p_gm / 100，对所有持续经营维度求和。持续经营维度指本期和对比期均存在的业务维度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agg_dimension_summary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百分点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continuing_margin_impact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持续经营利润率影响总和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Σ(c_share - p_share) × p_gm / 100，对所有持续经营维度求和。持续经营维度指本期和对比期均存在的业务维度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agg_dimension_summary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百分点，2位小数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new_impact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新增维度影响总和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Σ total_impact，对仅本期存在的维度求和。新增维度p_rev=0, p_share=0, p_gm=整体基期毛利率；structure_impact = c_share × 整体基期毛利率 / 100，margin_impact = c_share × (c_gm - 整体基期毛利率) / 100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agg_dimension_summary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百分点，2位小数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exit_impact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退出维度影响总和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Σ total_impact，对仅对比期存在的维度求和。退出维度c_rev=0, c_share=0, c_gm=整体当期毛利率；structure_impact = -p_share × p_gm / 100，margin_impact = 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agg_dimension_summary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百分点，2位小数</w:t>
            </w:r>
          </w:p>
        </w:tc>
      </w:tr>
    </w:tbl>
    <w:p/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**三类维度说明**：</w:t>
      </w:r>
    </w:p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- **持续经营维度**：本期和对比期均存在的业务维度（如既有客户、既有产品），其变化拆分为结构影响和利润率影响。</w:t>
      </w:r>
    </w:p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- **新增维度**：仅本期存在的维度（新客户、新产品），其全部影响归入"新增维度影响"。</w:t>
      </w:r>
    </w:p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- **退出维度**：仅对比期存在的维度（已流失客户、已停产产品），其全部影响归入"退出维度影响"。</w:t>
      </w:r>
    </w:p>
    <w:p w:pStyle="Heading 5">
      <w:r>
        <w:rPr>
          <w:b/>
        </w:rPr>
        <w:t>环比变动</w:t>
      </w:r>
    </w:p>
    <w:p>
      <w:r>
        <w:t>注："上期"指对比期再往前一个期间。例如同比模式下，对比期为2025年Q2，则上期为2025年Q1。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r>
              <w:t>指标名称</w:t>
            </w:r>
          </w:p>
        </w:tc>
        <w:tc>
          <w:tcPr>
            <w:tcW w:type="dxa" w:w="2268"/>
          </w:tcPr>
          <w:p>
            <w:r>
              <w:t>前端展示名称</w:t>
            </w:r>
          </w:p>
        </w:tc>
        <w:tc>
          <w:tcPr>
            <w:tcW w:type="dxa" w:w="5669"/>
          </w:tcPr>
          <w:p>
            <w:r>
              <w:t>计算说明</w:t>
            </w:r>
          </w:p>
        </w:tc>
      </w:tr>
      <w:tr>
        <w:tc>
          <w:tcPr>
            <w:tcW w:type="dxa" w:w="2835"/>
          </w:tcPr>
          <w:p>
            <w:r>
              <w:t>continuing_structure_impact_mom</w:t>
            </w:r>
          </w:p>
        </w:tc>
        <w:tc>
          <w:tcPr>
            <w:tcW w:type="dxa" w:w="2268"/>
          </w:tcPr>
          <w:p>
            <w:r>
              <w:t>持续经营结构影响总和环比</w:t>
            </w:r>
          </w:p>
        </w:tc>
        <w:tc>
          <w:tcPr>
            <w:tcW w:type="dxa" w:w="5669"/>
          </w:tcPr>
          <w:p>
            <w:r>
              <w:t>本期 continuing_structure_impact - 上期 continuing_structure_impact（上期为对比期的再上一期）</w:t>
            </w:r>
          </w:p>
        </w:tc>
      </w:tr>
      <w:tr>
        <w:tc>
          <w:tcPr>
            <w:tcW w:type="dxa" w:w="2835"/>
          </w:tcPr>
          <w:p>
            <w:r>
              <w:t>continuing_margin_impact_mom</w:t>
            </w:r>
          </w:p>
        </w:tc>
        <w:tc>
          <w:tcPr>
            <w:tcW w:type="dxa" w:w="2268"/>
          </w:tcPr>
          <w:p>
            <w:r>
              <w:t>持续经营利润率影响总和环比</w:t>
            </w:r>
          </w:p>
        </w:tc>
        <w:tc>
          <w:tcPr>
            <w:tcW w:type="dxa" w:w="5669"/>
          </w:tcPr>
          <w:p>
            <w:r>
              <w:t>本期 continuing_margin_impact - 上期 continuing_margin_impact</w:t>
            </w:r>
          </w:p>
        </w:tc>
      </w:tr>
      <w:tr>
        <w:tc>
          <w:tcPr>
            <w:tcW w:type="dxa" w:w="2835"/>
          </w:tcPr>
          <w:p>
            <w:r>
              <w:t>new_impact_mom</w:t>
            </w:r>
          </w:p>
        </w:tc>
        <w:tc>
          <w:tcPr>
            <w:tcW w:type="dxa" w:w="2268"/>
          </w:tcPr>
          <w:p>
            <w:r>
              <w:t>新增维度影响总和环比</w:t>
            </w:r>
          </w:p>
        </w:tc>
        <w:tc>
          <w:tcPr>
            <w:tcW w:type="dxa" w:w="5669"/>
          </w:tcPr>
          <w:p>
            <w:r>
              <w:t>本期 new_impact - 上期 new_impact</w:t>
            </w:r>
          </w:p>
        </w:tc>
      </w:tr>
      <w:tr>
        <w:tc>
          <w:tcPr>
            <w:tcW w:type="dxa" w:w="2835"/>
          </w:tcPr>
          <w:p>
            <w:r>
              <w:t>exit_impact_mom</w:t>
            </w:r>
          </w:p>
        </w:tc>
        <w:tc>
          <w:tcPr>
            <w:tcW w:type="dxa" w:w="2268"/>
          </w:tcPr>
          <w:p>
            <w:r>
              <w:t>退出维度影响总和环比</w:t>
            </w:r>
          </w:p>
        </w:tc>
        <w:tc>
          <w:tcPr>
            <w:tcW w:type="dxa" w:w="5669"/>
          </w:tcPr>
          <w:p>
            <w:r>
              <w:t>本期 exit_impact - 上期 exit_impact</w:t>
            </w:r>
          </w:p>
        </w:tc>
      </w:tr>
    </w:tbl>
    <w:p>
      <w:pPr>
        <w:pStyle w:val="Heading4"/>
      </w:pPr>
      <w:r>
        <w:rPr>
          <w:sz w:val="28"/>
        </w:rPr>
        <w:t>12. 明细下钻指标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avg_order_value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维度客单价（AOV）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某维度收入 / 该维度订单数，即平均每笔订单金额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agg_dimension_summary + agg_order_summary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金额，单位"万元"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neg_margin_order_count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负毛利订单数量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某维度下毛利润为负的订单去重数量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agg_order_summary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整数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neg_margin_amount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负毛利金额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某维度下所有负毛利订单的毛利润之和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agg_order_summary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金额，单位"万元"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revenue_contribution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收入贡献度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该维度收入 / 总收入 x 100%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agg_dimension_summary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百分比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客户明细 Top10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客户明细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按收入从高到低排列的前十大客户，包含各客户的收入、营业成本、毛利润、毛利率、收入贡献度、毛利贡献度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agg_dimension_summary (dim_type=customer)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列表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合同类型明细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合同类型明细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按合同类型（如直签/分销等）拆分的收入、营业成本、毛利润、毛利率、收入贡献度、毛利贡献度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agg_dimension_summary (dim_type=contract_type)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/>
                <w:sz w:val="18"/>
              </w:rPr>
              <w:t>列表</w:t>
            </w:r>
          </w:p>
        </w:tc>
      </w:tr>
    </w:tbl>
    <w:p/>
    <w:p>
      <w:pPr>
        <w:pStyle w:val="Heading4"/>
      </w:pPr>
      <w:r>
        <w:rPr>
          <w:sz w:val="28"/>
        </w:rPr>
        <w:t>13. 趋势指标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dimension_trend_series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维度趋势序列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按业务维度（如部门/产品线/客户）拆分的多期数据，每期包含各维度的收入、毛利润、毛利率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agg_dimension_summary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sz w:val="20"/>
              </w:rPr>
              <w:t>时间序列</w:t>
            </w:r>
          </w:p>
        </w:tc>
      </w:tr>
    </w:tbl>
    <w:p/>
    <w:p>
      <w:pPr>
        <w:pStyle w:val="Heading4"/>
      </w:pPr>
      <w:r>
        <w:rPr>
          <w:sz w:val="28"/>
        </w:rPr>
        <w:t>14. 其他指标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指标名称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前端展示名称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计算说明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格式</w:t>
            </w:r>
          </w:p>
        </w:tc>
      </w:tr>
    </w:tbl>
    <w:p/>
    <w:p>
      <w:pPr>
        <w:ind w:left="567"/>
        <w:pBdr>
          <w:left w:val="single" w:sz="12" w:space="4" w:color="1890FF"/>
        </w:pBdr>
      </w:pPr>
      <w:r>
        <w:rPr>
          <w:i/>
          <w:color w:val="666666"/>
          <w:sz w:val="20"/>
        </w:rPr>
        <w:t>**注意**：收入达成率仅在公司/部门维度计算，产品线或客户筛选时不展示。</w:t>
      </w:r>
    </w:p>
    <w:p/>
    <w:p>
      <w:pPr>
        <w:pStyle w:val="Heading3"/>
      </w:pPr>
      <w:r>
        <w:rPr>
          <w:sz w:val="32"/>
        </w:rPr>
        <w:t>三、筛选条件说明</w:t>
      </w:r>
    </w:p>
    <w:p>
      <w:r>
        <w:rPr>
          <w:sz w:val="22"/>
        </w:rPr>
        <w:t xml:space="preserve">变动分析及相关分析页面支持以下筛选条件（具体可用筛选项以后端 </w:t>
      </w:r>
      <w:r>
        <w:rPr>
          <w:rFonts w:ascii="Consolas" w:hAnsi="Consolas"/>
          <w:color w:val="C7254E"/>
          <w:sz w:val="20"/>
        </w:rPr>
        <w:t>/api/filters</w:t>
      </w:r>
      <w:r>
        <w:rPr>
          <w:sz w:val="22"/>
        </w:rPr>
        <w:t xml:space="preserve"> 接口返回为准）：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筛选条件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/>
                <w:sz w:val="20"/>
              </w:rPr>
              <w:t>影响范围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业务部门（BGBU）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按业务部门/事业部（市场线）筛选数据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过滤该部门下的所有收入、成本、订单数据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期间维度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选择趋势展示粒度：月度（monthly）/季度（quarterly）/累计（cumulative）/自定义（custom）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影响趋势序列和维度趋势序列的期数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对比基期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选择对比方式：同比（yoy）/环比（mom）/自定义期间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影响所有同比/环比类指标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分析维度类型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选择拆解维度：客户/产品/合同类型/业务线等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影响集中度、明细下钻、毛利率变动拆解的维度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高毛利阈值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定义"高毛利订单"的毛利率阈值，默认 40%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sz w:val="20"/>
              </w:rPr>
              <w:t>仅影响高毛利订单占比指标</w:t>
            </w:r>
          </w:p>
        </w:tc>
      </w:tr>
    </w:tbl>
    <w:p/>
    <w:p/>
    <w:p>
      <w:pPr>
        <w:pStyle w:val="Heading3"/>
      </w:pPr>
      <w:r>
        <w:rPr>
          <w:sz w:val="32"/>
        </w:rPr>
        <w:t>四、注意事项</w:t>
      </w:r>
    </w:p>
    <w:p/>
    <w:p>
      <w:pPr>
        <w:pStyle w:val="ListNumber"/>
      </w:pPr>
      <w:r>
        <w:rPr>
          <w:sz w:val="22"/>
        </w:rPr>
        <w:t>**同比数据缺失处理**：当去年同期无对应数据时（如新业务线、新客户），同比增长率指标可能显示为 null 或 N/A，不代表数据异常。</w:t>
      </w:r>
    </w:p>
    <w:p/>
    <w:p>
      <w:pPr>
        <w:pStyle w:val="ListNumber"/>
      </w:pPr>
      <w:r>
        <w:rPr>
          <w:sz w:val="22"/>
        </w:rPr>
        <w:t>**基数为零的情况**：当对比期（去年同期或上期）的收入/成本/毛利润为零或接近零时，增长率指标无实际意义，系统应予以标注。</w:t>
      </w:r>
    </w:p>
    <w:p/>
    <w:p>
      <w:pPr>
        <w:pStyle w:val="ListNumber"/>
      </w:pPr>
      <w:r>
        <w:rPr>
          <w:sz w:val="22"/>
        </w:rPr>
        <w:t>**集中度指标的口径**：</w:t>
      </w:r>
    </w:p>
    <w:p>
      <w:pPr>
        <w:ind w:left="850"/>
      </w:pPr>
      <w:r>
        <w:rPr>
          <w:sz w:val="22"/>
        </w:rPr>
        <w:t>- 客户集中度 Top3/Top10 的分母为"全部客户总收入"，按**收入**排名。</w:t>
      </w:r>
    </w:p>
    <w:p>
      <w:pPr>
        <w:ind w:left="850"/>
      </w:pPr>
      <w:r>
        <w:rPr>
          <w:sz w:val="22"/>
        </w:rPr>
        <w:t>- 产品集中度 Top3/Top10 的分母为"全部产品总收入"，按**收入**排名（非毛利）。前端部分卡片副标题"前10产品毛利占比"为标签待修正项。</w:t>
      </w:r>
    </w:p>
    <w:p>
      <w:pPr>
        <w:ind w:left="850"/>
      </w:pPr>
      <w:r>
        <w:rPr>
          <w:sz w:val="22"/>
        </w:rPr>
        <w:t>- 若筛选条件限定了特定业务部门，则分母仅包含该部门下的客户/产品。</w:t>
      </w:r>
    </w:p>
    <w:p/>
    <w:p>
      <w:pPr>
        <w:pStyle w:val="ListNumber"/>
      </w:pPr>
      <w:r>
        <w:rPr>
          <w:sz w:val="22"/>
        </w:rPr>
        <w:t>**负毛利金额的符号**：负毛利订单金额、负毛利产品金额均为负值（表示亏损金额），在图表展示时应注意符号方向。</w:t>
      </w:r>
    </w:p>
    <w:p/>
    <w:p>
      <w:pPr>
        <w:pStyle w:val="ListNumber"/>
      </w:pPr>
      <w:r>
        <w:rPr>
          <w:sz w:val="22"/>
        </w:rPr>
        <w:t>**连续增长期数的计算规则**：从最近一期开始往前数，一旦遇到环比增长率非正（&lt;= 0）的期间即停止计数。该指标仅在季度/累计等非月度维度展示，月度模式下显示"-"。</w:t>
      </w:r>
    </w:p>
    <w:p/>
    <w:p>
      <w:pPr>
        <w:pStyle w:val="ListNumber"/>
      </w:pPr>
      <w:r>
        <w:rPr>
          <w:sz w:val="22"/>
        </w:rPr>
        <w:t>**直签客户指标与收入达成率的计算范围**：这两类指标仅在公司或部门维度计算，当用户筛选了具体产品线或客户时不展示。</w:t>
      </w:r>
    </w:p>
    <w:p/>
    <w:p>
      <w:pPr>
        <w:pStyle w:val="ListNumber"/>
      </w:pPr>
      <w:r>
        <w:rPr>
          <w:sz w:val="22"/>
        </w:rPr>
        <w:t>**毛利率变动拆解的对比基准**：默认使用用户选择的对比基期（同比或环比）。同比时对比期为去年同期；环比时对比期为上期。</w:t>
      </w:r>
    </w:p>
    <w:p/>
    <w:p>
      <w:pPr>
        <w:pStyle w:val="ListNumber"/>
      </w:pPr>
      <w:r>
        <w:rPr>
          <w:sz w:val="22"/>
        </w:rPr>
        <w:t>**数据刷新时效**：底层汇总数据表（agg_period_summary、agg_dimension_summary、agg_order_summary）由数据同步任务定期刷新，核心指标接口启用 24 小时缓存。</w:t>
      </w:r>
    </w:p>
    <w:p/>
    <w:p>
      <w:pPr>
        <w:pStyle w:val="ListNumber"/>
      </w:pPr>
      <w:r>
        <w:rPr>
          <w:sz w:val="22"/>
        </w:rPr>
        <w:t>**前端金额单位统一为"万元"**：所有金额类指标在前端展示时已转换为"万元"为单位，后端存储为原始金额。</w:t>
      </w:r>
    </w:p>
    <w:p/>
    <w:p>
      <w:pPr>
        <w:pStyle w:val="ListNumber"/>
      </w:pPr>
      <w:r>
        <w:rPr>
          <w:sz w:val="22"/>
        </w:rPr>
        <w:t>**术语统一**：</w:t>
      </w:r>
    </w:p>
    <w:p>
      <w:pPr>
        <w:ind w:left="850"/>
      </w:pPr>
      <w:r>
        <w:rPr>
          <w:sz w:val="22"/>
        </w:rPr>
        <w:t>- "业务线" = "市场线" = 业务部门（BG/BU），后端字段使用 `market_line`</w:t>
      </w:r>
    </w:p>
    <w:p>
      <w:pPr>
        <w:ind w:left="850"/>
      </w:pPr>
      <w:r>
        <w:rPr>
          <w:sz w:val="22"/>
        </w:rPr>
        <w:t>- "税免成本" = "不含税成本" = "营业成本"，后端字段使用 `tax_excluded_cost`</w:t>
      </w:r>
    </w:p>
    <w:p>
      <w:pPr>
        <w:ind w:left="850"/>
      </w:pPr>
      <w:r>
        <w:rPr>
          <w:sz w:val="22"/>
        </w:rPr>
        <w:t>- "毛利润" 与 "毛利额" 为同义，后端字段统一使用 `gross_profit`</w:t>
      </w:r>
    </w:p>
    <w:p>
      <w:pPr>
        <w:ind w:left="850"/>
      </w:pPr>
      <w:r>
        <w:rPr>
          <w:sz w:val="22"/>
        </w:rPr>
        <w:t>- "pp" = 百分点（percentage point），用于表示两个百分比之间的差值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