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A1A1A"/>
          <w:sz w:val="40"/>
        </w:rPr>
        <w:t>客户分析 — 指标计算说明</w:t>
      </w:r>
    </w:p>
    <w:p>
      <w:r>
        <w:rPr>
          <w:color w:val="1890FF"/>
          <w:sz w:val="20"/>
        </w:rPr>
        <w:t>对应页面: /customer-analysis</w:t>
      </w:r>
    </w:p>
    <w:p>
      <w:pPr>
        <w:pStyle w:val="Heading2"/>
      </w:pPr>
      <w:r>
        <w:rPr>
          <w:sz w:val="32"/>
        </w:rPr>
        <w:t>客户分析 — 指标计算说明</w:t>
      </w:r>
    </w:p>
    <w:p>
      <w:pPr>
        <w:pStyle w:val="Heading3"/>
      </w:pPr>
      <w:r>
        <w:rPr>
          <w:sz w:val="32"/>
        </w:rPr>
        <w:t>一、页面概览</w:t>
      </w:r>
    </w:p>
    <w:p>
      <w:r>
        <w:rPr>
          <w:sz w:val="22"/>
        </w:rPr>
        <w:t>客户分析页面用于按客户维度拆解分析收入、毛利等核心财务指标，支持以下分析场景：</w:t>
      </w:r>
    </w:p>
    <w:p/>
    <w:p>
      <w:pPr>
        <w:pStyle w:val="ListBullet"/>
      </w:pPr>
      <w:r>
        <w:rPr>
          <w:sz w:val="22"/>
        </w:rPr>
        <w:t>**客户贡献排名**：展示各客户的收入规模排名，识别核心客户</w:t>
      </w:r>
    </w:p>
    <w:p>
      <w:pPr>
        <w:pStyle w:val="ListBullet"/>
      </w:pPr>
      <w:r>
        <w:rPr>
          <w:sz w:val="22"/>
        </w:rPr>
        <w:t>**毛利率分析**：查看不同客户的盈利水平差异</w:t>
      </w:r>
    </w:p>
    <w:p>
      <w:pPr>
        <w:pStyle w:val="ListBullet"/>
      </w:pPr>
      <w:r>
        <w:rPr>
          <w:sz w:val="22"/>
        </w:rPr>
        <w:t>**合同类型对比**：切换至合同类型维度，对比不同合同类型的收入与毛利</w:t>
      </w:r>
    </w:p>
    <w:p>
      <w:pPr>
        <w:pStyle w:val="ListBullet"/>
      </w:pPr>
      <w:r>
        <w:rPr>
          <w:sz w:val="22"/>
        </w:rPr>
        <w:t>**产品层级下钻**：点击客户名称可下钻至销售产品层级，查看该客户购买的产品明细</w:t>
      </w:r>
    </w:p>
    <w:p>
      <w:r>
        <w:rPr>
          <w:sz w:val="22"/>
        </w:rPr>
        <w:t>页面支持按周期维度（月度/季度/年累计/自定义期间）、客户、对比基期（同比/环比）进行筛选。管理员可查看全部数据，非管理员仅可查看本部门数据。</w:t>
      </w:r>
    </w:p>
    <w:p/>
    <w:p>
      <w:pPr>
        <w:pStyle w:val="Heading3"/>
      </w:pPr>
      <w:r>
        <w:rPr>
          <w:sz w:val="32"/>
        </w:rPr>
        <w:t>二、指标列表</w:t>
      </w:r>
    </w:p>
    <w:p>
      <w:pPr>
        <w:pStyle w:val="Heading4"/>
      </w:pPr>
      <w:r>
        <w:rPr>
          <w:sz w:val="28"/>
        </w:rPr>
        <w:t>2.1 汇总指标（KPI 卡片）</w:t>
      </w:r>
    </w:p>
    <w:p>
      <w:r>
        <w:rPr>
          <w:sz w:val="22"/>
        </w:rPr>
        <w:t>页面顶部展示 4 个核心 KPI 卡片：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数据来源字段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当期毛利总额，即收入减去成本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`summary.gross_profit`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万元，整数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毛利额占收入的百分比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`summary.gross_margin`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百分比，保留两位小数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客户集中度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客户集中度Top10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收入排名前10的客户收入之和占总收入的百分比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`summary.customer_concentration_top10`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百分比，保留两位小数</w:t>
            </w:r>
          </w:p>
        </w:tc>
      </w:tr>
    </w:tbl>
    <w:p/>
    <w:p>
      <w:r>
        <w:rPr>
          <w:sz w:val="22"/>
        </w:rPr>
        <w:t>每个 KPI 卡片可显示趋势箭头（同比或环比），趋势值根据"对比基期"选择自动切换：</w:t>
      </w:r>
    </w:p>
    <w:p/>
    <w:p>
      <w:pPr>
        <w:pStyle w:val="ListBullet"/>
      </w:pPr>
      <w:r>
        <w:rPr>
          <w:sz w:val="22"/>
        </w:rPr>
        <w:t>选择"同比"时，显示 `revenue_yoy_growth`、`gross_profit_yoy_growth`、`gross_margin_yoy_change`</w:t>
      </w:r>
    </w:p>
    <w:p>
      <w:pPr>
        <w:pStyle w:val="ListBullet"/>
      </w:pPr>
      <w:r>
        <w:rPr>
          <w:sz w:val="22"/>
        </w:rPr>
        <w:t>选择"环比"时，显示 `revenue_mom_growth`、`gross_profit_mom_growth`、`gross_margin_mom_change`</w:t>
      </w:r>
    </w:p>
    <w:p>
      <w:pPr>
        <w:pStyle w:val="Heading4"/>
      </w:pPr>
      <w:r>
        <w:rPr>
          <w:sz w:val="28"/>
        </w:rPr>
        <w:t>2.2 维度明细指标（按客户/合同类型/销售产品）</w:t>
      </w:r>
    </w:p>
    <w:p>
      <w:r>
        <w:rPr>
          <w:sz w:val="22"/>
        </w:rPr>
        <w:t>明细表格及下钻中展示的指标：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数据来源字段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收入(万元)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按维度分组的营业收入合计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`revenue`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万元，保留两位小数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收入贡献度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收入贡献度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该维度值的收入占总收入的百分比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`revenue_contribution`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毛利(万元)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该维度值的毛利额（收入减成本）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`gross_profit`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万元，保留两位小数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毛利贡献度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毛利贡献度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该维度值的毛利额占总毛利额的百分比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`gross_margin_contribution`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毛利额占收入的百分比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`gross_margin`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订单数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该维度对应的交易笔数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`order_count`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整数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客单价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平均每个订单的收入金额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`avg_order_value`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元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负毛利订单数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毛利为负的订单数量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`neg_margin_order_count`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整数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负毛利金额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负毛利订单的毛利额绝对值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`neg_margin_amount`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万元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收入同比增长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与去年同期相比的收入增长率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`revenue_yoy_growth`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**注意**：后端返回的成本字段名为 `tax_excluded_cost`（不含税成本），当成本数据为零或缺失时，毛利额和毛利率可能无法计算，前端展示为"--"。</w:t>
      </w:r>
    </w:p>
    <w:p>
      <w:pPr>
        <w:pStyle w:val="Heading4"/>
      </w:pPr>
      <w:r>
        <w:rPr>
          <w:sz w:val="28"/>
        </w:rPr>
        <w:t>2.3 订单级明细指标（L4 交易级别）</w:t>
      </w:r>
    </w:p>
    <w:p>
      <w:r>
        <w:rPr>
          <w:sz w:val="22"/>
        </w:rPr>
        <w:t>点击交易记录弹窗中展示的字段：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数据来源字段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期间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期间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业务发生期间，格式如 "2024-01"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`period`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字符串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所属部门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所属部门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订单所属事业部/市场线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`entity`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字符串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产品名称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产品名称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订单对应的产品/指标名称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`metric_name`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字符串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金额(万元)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订单收入金额，前端将原始值除以 10,000 展示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`metric_value`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万元，保留两位小数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客户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客户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订单对应客户名称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`tags.customer`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字符串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日期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日期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交易发生日期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`tags.date`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字符串</w:t>
            </w:r>
          </w:p>
        </w:tc>
      </w:tr>
    </w:tbl>
    <w:p/>
    <w:p>
      <w:pPr>
        <w:pStyle w:val="Heading4"/>
      </w:pPr>
      <w:r>
        <w:rPr>
          <w:sz w:val="28"/>
        </w:rPr>
        <w:t>2.4 标签类指标（当前后端未填充）</w:t>
      </w:r>
    </w:p>
    <w:p>
      <w:r>
        <w:rPr>
          <w:sz w:val="22"/>
        </w:rPr>
        <w:t>以下字段在 L4 弹窗的标签（</w:t>
      </w:r>
      <w:r>
        <w:rPr>
          <w:rFonts w:ascii="Consolas" w:hAnsi="Consolas"/>
          <w:color w:val="C7254E"/>
          <w:sz w:val="20"/>
        </w:rPr>
        <w:t>tags</w:t>
      </w:r>
      <w:r>
        <w:rPr>
          <w:sz w:val="22"/>
        </w:rPr>
        <w:t>）中定义，但当前后端尚未填充数据（返回值为 null），前端展示时做空值处理：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地区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地区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`tags.region`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当前为空，规划中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状态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状态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`tags.status`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当前为空，规划中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付款条件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付款条件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`tags.payment_terms`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当前为空，规划中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发票状态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发票状态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`tags.invoice_status`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当前为空，规划中</w:t>
            </w:r>
          </w:p>
        </w:tc>
      </w:tr>
    </w:tbl>
    <w:p/>
    <w:p>
      <w:pPr>
        <w:pStyle w:val="Heading4"/>
      </w:pPr>
      <w:r>
        <w:rPr>
          <w:sz w:val="28"/>
        </w:rPr>
        <w:t>2.5 公司级预留指标（在"核心盈利能力"卡片中展示）</w:t>
      </w:r>
    </w:p>
    <w:p>
      <w:r>
        <w:rPr>
          <w:sz w:val="22"/>
        </w:rPr>
        <w:t>以下指标在仪表盘页面的"核心盈利能力"卡片中展示，客户分析页面不直接使用：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数据来源字段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核心市场线收入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贡献收入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核心市场线的收入金额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`summary.core_market_line_revenue`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万元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最具价值市场线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最具价值市场线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毛利额最高的事业部/市场线名称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`summary.highest_value_market_line`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文本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最具价值市场线毛利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贡献毛利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最具价值市场线的毛利额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`summary.highest_value_market_profit`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万元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直签客户收入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直签客户收入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直签模式下的收入合计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`summary.direct_sign_revenue`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万元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直签客户收入占比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收入占比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直签收入占总收入的百分比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`summary.direct_sign_revenue_pct`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直签客户毛利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直签客户毛利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直签模式下的毛利合计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`summary.direct_sign_profit`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万元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直签客户毛利率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直签毛利占直签收入的百分比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`summary.direct_sign_margin`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</w:tbl>
    <w:p/>
    <w:p/>
    <w:p>
      <w:pPr>
        <w:pStyle w:val="Heading3"/>
      </w:pPr>
      <w:r>
        <w:rPr>
          <w:sz w:val="32"/>
        </w:rPr>
        <w:t>三、筛选条件说明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筛选条件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影响范围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期间选择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根据周期维度选择具体期间，如"2024-Q1"或"3月累计"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影响所有指标计算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对比基期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选择同比（与去年同期比）或环比（与上期比），或自定义对比期间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影响 KPI 趋势箭头和增长率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客户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选择特定客户后，所有指标按该客户过滤，同比/环比的分母也按相同客户计算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影响所有汇总和明细数据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对比维度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仅在选择客户后出现，可选择按"客户"或"合同类型"维度展示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影响明细表格和图表的分组方式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用户角色范围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管理员可查看全部数据；非管理员仅可查看本部门数据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限制数据可见范围，不影响计算公式</w:t>
            </w:r>
          </w:p>
        </w:tc>
      </w:tr>
    </w:tbl>
    <w:p/>
    <w:p/>
    <w:p>
      <w:pPr>
        <w:pStyle w:val="Heading3"/>
      </w:pPr>
      <w:r>
        <w:rPr>
          <w:sz w:val="32"/>
        </w:rPr>
        <w:t>四、注意事项</w:t>
      </w:r>
    </w:p>
    <w:p/>
    <w:p>
      <w:pPr>
        <w:pStyle w:val="ListNumber"/>
      </w:pPr>
      <w:r>
        <w:rPr>
          <w:sz w:val="22"/>
        </w:rPr>
        <w:t>**金额单位**：后端存储的金额为原始值（元），前端通过 `toWan()` 函数除以 10,000 转换为"万元"展示。KPI 卡片取整显示，明细表格保留两位小数。</w:t>
      </w:r>
    </w:p>
    <w:p/>
    <w:p>
      <w:pPr>
        <w:pStyle w:val="ListNumber"/>
      </w:pPr>
      <w:r>
        <w:rPr>
          <w:sz w:val="22"/>
        </w:rPr>
        <w:t>**成本缺失处理**：当某维度下成本数据为零或缺失时，毛利额和毛利率无法计算。后端返回 `calculable = false` 或 `missing_fields` 数组，前端应展示为"--"而非"0"。</w:t>
      </w:r>
    </w:p>
    <w:p/>
    <w:p>
      <w:pPr>
        <w:pStyle w:val="ListNumber"/>
      </w:pPr>
      <w:r>
        <w:rPr>
          <w:sz w:val="22"/>
        </w:rPr>
        <w:t>**毛利率口径**：所有维度的毛利率统一返回百分比形式（如 25.5 表示 25.5%），前端统一使用 `formatPercent()` 函数展示为 "25.50%"。</w:t>
      </w:r>
    </w:p>
    <w:p/>
    <w:p>
      <w:pPr>
        <w:pStyle w:val="ListNumber"/>
      </w:pPr>
      <w:r>
        <w:rPr>
          <w:sz w:val="22"/>
        </w:rPr>
        <w:t>**客户集中度 Top10**：计算公式为"收入排名前10的客户收入之和 / 全部客户收入总和 x 100%"。当使用 Top-N 优化查询时，分母取自 SQL 汇总的总收入（`__total__` 键），确保分子分母口径一致。结果上限为 100%。</w:t>
      </w:r>
    </w:p>
    <w:p/>
    <w:p>
      <w:pPr>
        <w:pStyle w:val="ListNumber"/>
      </w:pPr>
      <w:r>
        <w:rPr>
          <w:sz w:val="22"/>
        </w:rPr>
        <w:t>**直签指标**：直签客户收入、收入占比、毛利、毛利率已在后端计算并返回至前端，在仪表盘"核心盈利能力"卡片中展示。仅在公司/事业部级别可用，产品或客户过滤时不展示。</w:t>
      </w:r>
    </w:p>
    <w:p/>
    <w:p>
      <w:pPr>
        <w:pStyle w:val="ListNumber"/>
      </w:pPr>
      <w:r>
        <w:rPr>
          <w:sz w:val="22"/>
        </w:rPr>
        <w:t>**核心市场线 / 最具价值市场线**：这两个指标基于事业部（bgbu）维度计算，分别取收入最高和毛利最高的事业部。仅在公司/事业部级别可用。</w:t>
      </w:r>
    </w:p>
    <w:p/>
    <w:p>
      <w:pPr>
        <w:pStyle w:val="ListNumber"/>
      </w:pPr>
      <w:r>
        <w:rPr>
          <w:sz w:val="22"/>
        </w:rPr>
        <w:t>**负毛利指标**：</w:t>
      </w:r>
    </w:p>
    <w:p>
      <w:pPr>
        <w:ind w:left="850"/>
      </w:pPr>
      <w:r>
        <w:rPr>
          <w:sz w:val="22"/>
        </w:rPr>
        <w:t>- 负毛利订单占比：毛利为负的订单数 / 有收入的订单总数 x 100%</w:t>
      </w:r>
    </w:p>
    <w:p>
      <w:pPr>
        <w:ind w:left="850"/>
      </w:pPr>
      <w:r>
        <w:rPr>
          <w:sz w:val="22"/>
        </w:rPr>
        <w:t>- 负毛利产品占比：毛利为负的产品数 / 全部产品数 x 100%</w:t>
      </w:r>
    </w:p>
    <w:p>
      <w:pPr>
        <w:ind w:left="850"/>
      </w:pPr>
      <w:r>
        <w:rPr>
          <w:sz w:val="22"/>
        </w:rPr>
        <w:t>- 两者均在仪表盘"增长与质量"卡片中展示，含对应的负毛利金额。</w:t>
      </w:r>
    </w:p>
    <w:p/>
    <w:p>
      <w:pPr>
        <w:pStyle w:val="ListNumber"/>
      </w:pPr>
      <w:r>
        <w:rPr>
          <w:sz w:val="22"/>
        </w:rPr>
        <w:t>**L4 订单级别**：在 L4 交易明细层级，`children_count` 恒为 0，无实际业务含义。</w:t>
      </w:r>
    </w:p>
    <w:p/>
    <w:p>
      <w:pPr>
        <w:pStyle w:val="ListNumber"/>
      </w:pPr>
      <w:r>
        <w:rPr>
          <w:sz w:val="22"/>
        </w:rPr>
        <w:t>**部门范围限制**：非管理员用户的筛选结果会自动叠加本部门过滤条件，此限制由后端中间件层强制实施，前端无需额外处理。</w:t>
      </w:r>
    </w:p>
    <w:p/>
    <w:p>
      <w:pPr>
        <w:pStyle w:val="ListNumber"/>
      </w:pPr>
      <w:r>
        <w:rPr>
          <w:sz w:val="22"/>
        </w:rPr>
        <w:t>**数据质量提示**：当数据不完整时，页面顶部会显示警告信息，列出缺失字段（`missing_fields`）和警告内容（`warnings`）。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