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A1A1A"/>
          <w:sz w:val="40"/>
        </w:rPr>
        <w:t>趋势分析 — 指标计算说明</w:t>
      </w:r>
    </w:p>
    <w:p>
      <w:r>
        <w:rPr>
          <w:color w:val="1890FF"/>
          <w:sz w:val="20"/>
        </w:rPr>
        <w:t>对应页面: /trend-analysis</w:t>
      </w:r>
    </w:p>
    <w:p>
      <w:pPr>
        <w:pStyle w:val="Heading2"/>
      </w:pPr>
      <w:r>
        <w:rPr>
          <w:sz w:val="32"/>
        </w:rPr>
        <w:t>趋势分析 — 指标计算说明</w:t>
      </w:r>
    </w:p>
    <w:p>
      <w:pPr>
        <w:pStyle w:val="Heading3"/>
      </w:pPr>
      <w:r>
        <w:rPr>
          <w:sz w:val="32"/>
        </w:rPr>
        <w:t>一、页面概览</w:t>
      </w:r>
    </w:p>
    <w:p>
      <w:r>
        <w:rPr>
          <w:sz w:val="22"/>
        </w:rPr>
        <w:t>趋势分析页面展示核心财务指标随时间的变化趋势，支持月度、季度及累计维度的对比分析。页面涵盖收入趋势、毛利趋势、订单量趋势以及同比/环比增长分析，帮助业务人员直观了解经营走势。</w:t>
      </w:r>
    </w:p>
    <w:p>
      <w:r>
        <w:rPr>
          <w:b/>
          <w:sz w:val="22"/>
        </w:rPr>
        <w:t>筛选条件：</w:t>
      </w:r>
    </w:p>
    <w:p/>
    <w:p>
      <w:pPr>
        <w:pStyle w:val="ListBullet"/>
      </w:pPr>
      <w:r>
        <w:rPr>
          <w:sz w:val="22"/>
        </w:rPr>
        <w:t>**周期维度：** 月度 / 季度 / 年累计</w:t>
      </w:r>
    </w:p>
    <w:p>
      <w:pPr>
        <w:pStyle w:val="ListBullet"/>
      </w:pPr>
      <w:r>
        <w:rPr>
          <w:sz w:val="22"/>
        </w:rPr>
        <w:t>**期间：** 选择要分析的具体期间</w:t>
      </w:r>
    </w:p>
    <w:p>
      <w:pPr>
        <w:pStyle w:val="ListBullet"/>
      </w:pPr>
      <w:r>
        <w:rPr>
          <w:sz w:val="22"/>
        </w:rPr>
        <w:t>**分析维度：** 公司整体 / 部门 / 产品线（选择部门或产品线后可进一步选择具体实体）</w:t>
      </w:r>
    </w:p>
    <w:p/>
    <w:p>
      <w:pPr>
        <w:pStyle w:val="Heading3"/>
      </w:pPr>
      <w:r>
        <w:rPr>
          <w:sz w:val="32"/>
        </w:rPr>
        <w:t>二、指标列表</w:t>
      </w:r>
    </w:p>
    <w:p>
      <w:pPr>
        <w:pStyle w:val="Heading4"/>
      </w:pPr>
      <w:r>
        <w:rPr>
          <w:sz w:val="28"/>
        </w:rPr>
        <w:t>2.1 核心 KPI（页面顶部卡片）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当前期间的毛利总额。若明细数据中毛利字段为空，则按"收入 - 成本"计算。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toWan() 万元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毛利额占收入的百分比。计算公式：(毛利额 / 收入) × 100%。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% 百分比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订单数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订单数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当前期间内不重复的订单总笔数（去重后的唯一订单数量）。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整数（笔）</w:t>
            </w:r>
          </w:p>
        </w:tc>
      </w:tr>
    </w:tbl>
    <w:p/>
    <w:p>
      <w:pPr>
        <w:pStyle w:val="Heading4"/>
      </w:pPr>
      <w:r>
        <w:rPr>
          <w:sz w:val="28"/>
        </w:rPr>
        <w:t>2.2 趋势指标（图表及 KPI 趋势标签）</w:t>
      </w:r>
    </w:p>
    <w:p>
      <w:r>
        <w:rPr>
          <w:sz w:val="22"/>
        </w:rPr>
        <w:t>以下指标作为趋势序列数据，用于折线图/面积图展示，以及 KPI 卡片上的同比/环比变化标签。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收入环比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KPI 趋势标签（%）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当前期间收入与上一期间收入的增长率。计算公式：(本期收入 - 上期收入) / 上期收入 × 100%。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% 百分比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毛利额同比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KPI 趋势标签（%）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当前期间毛利额与去年同期毛利额的增长率。计算公式：(本期毛利额 - 去年同期毛利额) / 去年同期毛利额 × 100%。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% 百分比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毛利额环比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KPI 趋势标签（%）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当前期间毛利额与上一期间毛利额的增长率。计算公式：(本期毛利额 - 上期毛利额) / 上期毛利额 × 100%。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% 百分比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毛利率同比变动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KPI 趋势标签（%）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当前期间毛利率与去年同期毛利率的差值。计算公式：本期毛利率 - 去年同期毛利率。注意：这是百分点差值，不是百分比变化率。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百分点（pp）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毛利率环比变动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KPI 趋势标签（%）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当前期间毛利率与上一期间毛利率的差值。计算公式：本期毛利率 - 上期毛利率。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百分点（pp）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订单数同比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KPI 趋势标签（%）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当前期间订单数与去年同期订单数的增长率。计算公式：(本期订单数 - 去年同期订单数) / 去年同期订单数 × 100%。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% 百分比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订单数环比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KPI 趋势标签（%）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当前期间订单数与上一期间订单数的增长率。计算公式：(本期订单数 - 上期订单数) / 上期订单数 × 100%。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% 百分比</w:t>
            </w:r>
          </w:p>
        </w:tc>
      </w:tr>
    </w:tbl>
    <w:p/>
    <w:p>
      <w:pPr>
        <w:pStyle w:val="Heading4"/>
      </w:pPr>
      <w:r>
        <w:rPr>
          <w:sz w:val="28"/>
        </w:rPr>
        <w:t>2.3 维度拆分指标（切换至部门/产品线维度时的明细表格）</w:t>
      </w:r>
    </w:p>
    <w:p>
      <w:r>
        <w:rPr>
          <w:sz w:val="22"/>
        </w:rPr>
        <w:t>当分析维度不是"公司整体"时，页面会展示各维度值的拆分数据。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毛利贡献度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毛利贡献度（明细表）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该维度值的毛利额对整体毛利额的贡献比例。计算公式：该维度毛利额 / 总毛利额 × 100%。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% 百分比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平均订单金额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客单价（明细表）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该维度下平均每笔订单的收入。计算公式：该维度总收入 / 该维度订单数。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负毛利订单数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负毛利订单数（明细表）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毛利额为负（成本高于收入）的订单笔数。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整数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负毛利金额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负毛利金额（明细表）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所有负毛利订单的毛利额总和（取绝对值）。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</w:t>
            </w:r>
          </w:p>
        </w:tc>
      </w:tr>
    </w:tbl>
    <w:p/>
    <w:p/>
    <w:p>
      <w:pPr>
        <w:pStyle w:val="Heading3"/>
      </w:pPr>
      <w:r>
        <w:rPr>
          <w:sz w:val="32"/>
        </w:rPr>
        <w:t>三、图表说明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图表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展示内容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毛利趋势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各期间的毛利额变化（折线图），支持切换为同比/环比百分比展示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毛利率趋势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各期间的毛利率变化（折线图）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月度收入分布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各期间的收入对比（柱状图）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多维度趋势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当选择部门或产品线维度且未指定具体实体时，展示各实体收入/毛利/毛利率的多条趋势线</w:t>
            </w:r>
          </w:p>
        </w:tc>
      </w:tr>
    </w:tbl>
    <w:p/>
    <w:p/>
    <w:p>
      <w:pPr>
        <w:pStyle w:val="Heading3"/>
      </w:pPr>
      <w:r>
        <w:rPr>
          <w:sz w:val="32"/>
        </w:rPr>
        <w:t>四、筛选条件说明</w:t>
      </w:r>
    </w:p>
    <w:p/>
    <w:p>
      <w:pPr>
        <w:pStyle w:val="ListBullet"/>
      </w:pPr>
      <w:r>
        <w:rPr>
          <w:sz w:val="22"/>
        </w:rPr>
        <w:t>**周期维度：** 选择月度、季度或年累计，影响当期、去年同期、上期的时间窗口计算。</w:t>
      </w:r>
    </w:p>
    <w:p>
      <w:pPr>
        <w:pStyle w:val="ListBullet"/>
      </w:pPr>
      <w:r>
        <w:rPr>
          <w:sz w:val="22"/>
        </w:rPr>
        <w:t>**期间：** 选择具体的分析期间（如 2026年3月、2026年Q1等）。</w:t>
      </w:r>
    </w:p>
    <w:p>
      <w:pPr>
        <w:pStyle w:val="ListBullet"/>
      </w:pPr>
      <w:r>
        <w:rPr>
          <w:sz w:val="22"/>
        </w:rPr>
        <w:t>**分析维度：** 选择公司整体、部门或产品线。</w:t>
      </w:r>
    </w:p>
    <w:p>
      <w:pPr>
        <w:pStyle w:val="ListBullet"/>
      </w:pPr>
      <w:r>
        <w:rPr>
          <w:sz w:val="22"/>
        </w:rPr>
        <w:t>**实体选择：** 选择部门或产品线维度后，可进一步选择具体的部门或产品线。</w:t>
      </w:r>
    </w:p>
    <w:p>
      <w:pPr>
        <w:pStyle w:val="ListBullet"/>
      </w:pPr>
      <w:r>
        <w:rPr>
          <w:sz w:val="22"/>
        </w:rPr>
        <w:t>**对比方式：** 页面支持同比（与去年同期对比）和环比（与上一期间对比）两种对比方式，通过 KPI 卡片上的趋势标签展示。</w:t>
      </w:r>
    </w:p>
    <w:p/>
    <w:p>
      <w:pPr>
        <w:pStyle w:val="Heading3"/>
      </w:pPr>
      <w:r>
        <w:rPr>
          <w:sz w:val="32"/>
        </w:rPr>
        <w:t>五、注意事项</w:t>
      </w:r>
    </w:p>
    <w:p/>
    <w:p>
      <w:pPr>
        <w:pStyle w:val="ListNumber"/>
      </w:pPr>
      <w:r>
        <w:rPr>
          <w:sz w:val="22"/>
        </w:rPr>
        <w:t>**同比与环比的时间基准：**</w:t>
      </w:r>
    </w:p>
    <w:p>
      <w:pPr>
        <w:ind w:left="850"/>
      </w:pPr>
      <w:r>
        <w:rPr>
          <w:sz w:val="22"/>
        </w:rPr>
        <w:t>- **同比** 始终与去年同期对比。如当前为 2026 年 Q1，则对比 2025 年 Q1。</w:t>
      </w:r>
    </w:p>
    <w:p>
      <w:pPr>
        <w:ind w:left="850"/>
      </w:pPr>
      <w:r>
        <w:rPr>
          <w:sz w:val="22"/>
        </w:rPr>
        <w:t>- **环比** 与紧邻的上一期间对比。如当前为 2026 年 3 月（月度视图），则对比 2026 年 2 月；如为 Q1（季度视图），则对比 2025 年 Q4。</w:t>
      </w:r>
    </w:p>
    <w:p/>
    <w:p>
      <w:pPr>
        <w:pStyle w:val="ListNumber"/>
      </w:pPr>
      <w:r>
        <w:rPr>
          <w:sz w:val="22"/>
        </w:rPr>
        <w:t>**百分点 vs 百分比：** 毛利率的同比/环比变动使用"百分点"单位，即两个百分比的绝对差值，而非相对变化率。例如毛利率从 20% 提升到 25%，变动为 +5 个百分点，而非增长 25%。</w:t>
      </w:r>
    </w:p>
    <w:p/>
    <w:p>
      <w:pPr>
        <w:pStyle w:val="ListNumber"/>
      </w:pPr>
      <w:r>
        <w:rPr>
          <w:sz w:val="22"/>
        </w:rPr>
        <w:t>**负毛利金额：** 明细表中该指标取绝对值展示，数值越大说明亏损总额越大。</w:t>
      </w:r>
    </w:p>
    <w:p/>
    <w:p>
      <w:pPr>
        <w:pStyle w:val="ListNumber"/>
      </w:pPr>
      <w:r>
        <w:rPr>
          <w:sz w:val="22"/>
        </w:rPr>
        <w:t>**数据聚合层级：** 收入、毛利额、订单数在公司层面从期间汇总表聚合；切换至部门或产品线维度时，从维度汇总表聚合；负毛利订单相关指标从订单明细表聚合。</w:t>
      </w:r>
    </w:p>
    <w:p/>
    <w:p>
      <w:pPr>
        <w:pStyle w:val="ListNumber"/>
      </w:pPr>
      <w:r>
        <w:rPr>
          <w:sz w:val="22"/>
        </w:rPr>
        <w:t>**全局筛选继承：** 趋势分析页面的数据范围受全局筛选器控制（如事业部限制），用户不可跨部门查看数据。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