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22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山西航产科技有限公司经营沙盘游戏规则</w:t>
      </w:r>
    </w:p>
    <w:p w14:paraId="151F9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20" w:firstLineChars="200"/>
        <w:textAlignment w:val="auto"/>
        <w:rPr>
          <w:rFonts w:hint="eastAsia" w:ascii="黑体" w:hAnsi="黑体" w:eastAsia="黑体" w:cs="黑体"/>
          <w:sz w:val="36"/>
          <w:szCs w:val="44"/>
        </w:rPr>
      </w:pPr>
    </w:p>
    <w:p w14:paraId="0CD8D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20" w:firstLineChars="200"/>
        <w:textAlignment w:val="auto"/>
        <w:rPr>
          <w:rFonts w:hint="eastAsia" w:ascii="黑体" w:hAnsi="黑体" w:eastAsia="黑体" w:cs="黑体"/>
          <w:sz w:val="36"/>
          <w:szCs w:val="44"/>
        </w:rPr>
      </w:pPr>
      <w:r>
        <w:rPr>
          <w:rFonts w:hint="eastAsia" w:ascii="黑体" w:hAnsi="黑体" w:eastAsia="黑体" w:cs="黑体"/>
          <w:sz w:val="36"/>
          <w:szCs w:val="44"/>
        </w:rPr>
        <w:t>一、基础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流程</w:t>
      </w:r>
    </w:p>
    <w:p w14:paraId="0E3A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（一）</w:t>
      </w:r>
      <w:r>
        <w:rPr>
          <w:rFonts w:hint="eastAsia" w:ascii="楷体_GB2312" w:hAnsi="楷体_GB2312" w:eastAsia="楷体_GB2312" w:cs="楷体_GB2312"/>
          <w:b/>
          <w:bCs/>
          <w:sz w:val="32"/>
          <w:szCs w:val="40"/>
        </w:rPr>
        <w:t>参与形式</w:t>
      </w:r>
    </w:p>
    <w:p w14:paraId="0D455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参与者自愿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队，每4人</w:t>
      </w:r>
      <w:r>
        <w:rPr>
          <w:rFonts w:hint="eastAsia" w:ascii="仿宋_GB2312" w:hAnsi="仿宋_GB2312" w:eastAsia="仿宋_GB2312" w:cs="仿宋_GB2312"/>
          <w:sz w:val="32"/>
          <w:szCs w:val="40"/>
        </w:rPr>
        <w:t>组成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1个</w:t>
      </w:r>
      <w:r>
        <w:rPr>
          <w:rFonts w:hint="eastAsia" w:ascii="仿宋_GB2312" w:hAnsi="仿宋_GB2312" w:eastAsia="仿宋_GB2312" w:cs="仿宋_GB2312"/>
          <w:sz w:val="32"/>
          <w:szCs w:val="40"/>
        </w:rPr>
        <w:t>公司，每组需设立以下角色：</w:t>
      </w:r>
    </w:p>
    <w:p w14:paraId="48CB3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CEO（1人）：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负责公司全面的经营和管理</w:t>
      </w:r>
    </w:p>
    <w:p w14:paraId="1CA55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生产采购总监</w:t>
      </w:r>
      <w:r>
        <w:rPr>
          <w:rFonts w:hint="eastAsia" w:ascii="仿宋_GB2312" w:hAnsi="仿宋_GB2312" w:eastAsia="仿宋_GB2312" w:cs="仿宋_GB2312"/>
          <w:sz w:val="32"/>
          <w:szCs w:val="40"/>
        </w:rPr>
        <w:t>（1人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负责125板块</w:t>
      </w:r>
      <w:r>
        <w:rPr>
          <w:rFonts w:hint="eastAsia" w:ascii="仿宋_GB2312" w:hAnsi="仿宋_GB2312" w:eastAsia="仿宋_GB2312" w:cs="仿宋_GB2312"/>
          <w:sz w:val="32"/>
          <w:szCs w:val="40"/>
        </w:rPr>
        <w:t>）：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</w:t>
      </w:r>
      <w:r>
        <w:rPr>
          <w:rFonts w:hint="eastAsia" w:ascii="仿宋_GB2312" w:hAnsi="仿宋_GB2312" w:eastAsia="仿宋_GB2312" w:cs="仿宋_GB2312"/>
          <w:sz w:val="32"/>
          <w:szCs w:val="40"/>
        </w:rPr>
        <w:t>生产运营与设备管理</w:t>
      </w:r>
    </w:p>
    <w:p w14:paraId="2E75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销售科创总监</w:t>
      </w:r>
      <w:r>
        <w:rPr>
          <w:rFonts w:hint="eastAsia" w:ascii="仿宋_GB2312" w:hAnsi="仿宋_GB2312" w:eastAsia="仿宋_GB2312" w:cs="仿宋_GB2312"/>
          <w:sz w:val="32"/>
          <w:szCs w:val="40"/>
        </w:rPr>
        <w:t>（1人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负责347板块</w:t>
      </w:r>
      <w:r>
        <w:rPr>
          <w:rFonts w:hint="eastAsia" w:ascii="仿宋_GB2312" w:hAnsi="仿宋_GB2312" w:eastAsia="仿宋_GB2312" w:cs="仿宋_GB2312"/>
          <w:sz w:val="32"/>
          <w:szCs w:val="40"/>
        </w:rPr>
        <w:t>）：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负责市场拓展</w:t>
      </w:r>
      <w:r>
        <w:rPr>
          <w:rFonts w:hint="eastAsia" w:ascii="仿宋_GB2312" w:hAnsi="仿宋_GB2312" w:eastAsia="仿宋_GB2312" w:cs="仿宋_GB2312"/>
          <w:sz w:val="32"/>
          <w:szCs w:val="40"/>
        </w:rPr>
        <w:t>与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科技创新</w:t>
      </w:r>
    </w:p>
    <w:p w14:paraId="5DEA1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财务管理总监</w:t>
      </w:r>
      <w:r>
        <w:rPr>
          <w:rFonts w:hint="eastAsia" w:ascii="仿宋_GB2312" w:hAnsi="仿宋_GB2312" w:eastAsia="仿宋_GB2312" w:cs="仿宋_GB2312"/>
          <w:sz w:val="32"/>
          <w:szCs w:val="40"/>
        </w:rPr>
        <w:t>（1人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负责689板块</w:t>
      </w:r>
      <w:r>
        <w:rPr>
          <w:rFonts w:hint="eastAsia" w:ascii="仿宋_GB2312" w:hAnsi="仿宋_GB2312" w:eastAsia="仿宋_GB2312" w:cs="仿宋_GB2312"/>
          <w:sz w:val="32"/>
          <w:szCs w:val="40"/>
        </w:rPr>
        <w:t>）：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负责</w:t>
      </w:r>
      <w:r>
        <w:rPr>
          <w:rFonts w:hint="eastAsia" w:ascii="仿宋_GB2312" w:hAnsi="仿宋_GB2312" w:eastAsia="仿宋_GB2312" w:cs="仿宋_GB2312"/>
          <w:sz w:val="32"/>
          <w:szCs w:val="40"/>
        </w:rPr>
        <w:t>财务核算与资金管理</w:t>
      </w:r>
    </w:p>
    <w:p w14:paraId="3DE2E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1-6公司的队长/CEO将由公司领导担任，以下为队长名单：</w:t>
      </w:r>
    </w:p>
    <w:p w14:paraId="787A0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1组队长/CEO：刘  涛</w:t>
      </w:r>
    </w:p>
    <w:p w14:paraId="26A09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2组队长/CEO：张泽伟</w:t>
      </w:r>
    </w:p>
    <w:p w14:paraId="6207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3组队长/CEO：李  霞</w:t>
      </w:r>
    </w:p>
    <w:p w14:paraId="02122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4组队长/CEO：梁鹏辉</w:t>
      </w:r>
    </w:p>
    <w:p w14:paraId="53BDC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5组队长/CEO：段哲义</w:t>
      </w:r>
    </w:p>
    <w:p w14:paraId="1A51B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6组队长/CEO：卫  嵬</w:t>
      </w:r>
    </w:p>
    <w:p w14:paraId="1DCB1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其他组队长/CEO自行组队选举产生，未组队成功的参与者，以投资人身份进入模拟经营。</w:t>
      </w:r>
    </w:p>
    <w:p w14:paraId="4699F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每组需自备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笔记本</w:t>
      </w:r>
      <w:r>
        <w:rPr>
          <w:rFonts w:hint="eastAsia" w:ascii="仿宋_GB2312" w:hAnsi="仿宋_GB2312" w:eastAsia="仿宋_GB2312" w:cs="仿宋_GB2312"/>
          <w:sz w:val="32"/>
          <w:szCs w:val="40"/>
        </w:rPr>
        <w:t>电脑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1台</w:t>
      </w:r>
      <w:r>
        <w:rPr>
          <w:rFonts w:hint="eastAsia" w:ascii="仿宋_GB2312" w:hAnsi="仿宋_GB2312" w:eastAsia="仿宋_GB2312" w:cs="仿宋_GB2312"/>
          <w:sz w:val="32"/>
          <w:szCs w:val="40"/>
        </w:rPr>
        <w:t>，用于数据录入。</w:t>
      </w:r>
    </w:p>
    <w:p w14:paraId="5BA80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（二）</w:t>
      </w:r>
      <w:r>
        <w:rPr>
          <w:rFonts w:hint="eastAsia" w:ascii="楷体_GB2312" w:hAnsi="楷体_GB2312" w:eastAsia="楷体_GB2312" w:cs="楷体_GB2312"/>
          <w:b/>
          <w:bCs/>
          <w:sz w:val="32"/>
          <w:szCs w:val="40"/>
        </w:rPr>
        <w:t>胜利条件</w:t>
      </w: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及奖项设置</w:t>
      </w:r>
    </w:p>
    <w:p w14:paraId="7E2EE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核心胜利条件：游戏结束时（预设经营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5-8</w:t>
      </w:r>
      <w:r>
        <w:rPr>
          <w:rFonts w:hint="eastAsia" w:ascii="仿宋_GB2312" w:hAnsi="仿宋_GB2312" w:eastAsia="仿宋_GB2312" w:cs="仿宋_GB2312"/>
          <w:sz w:val="32"/>
          <w:szCs w:val="40"/>
        </w:rPr>
        <w:t>年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时长两天</w:t>
      </w:r>
      <w:r>
        <w:rPr>
          <w:rFonts w:hint="eastAsia" w:ascii="仿宋_GB2312" w:hAnsi="仿宋_GB2312" w:eastAsia="仿宋_GB2312" w:cs="仿宋_GB2312"/>
          <w:sz w:val="32"/>
          <w:szCs w:val="40"/>
        </w:rPr>
        <w:t>），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所有者权益</w:t>
      </w:r>
      <w:r>
        <w:rPr>
          <w:rFonts w:hint="eastAsia" w:ascii="仿宋_GB2312" w:hAnsi="仿宋_GB2312" w:eastAsia="仿宋_GB2312" w:cs="仿宋_GB2312"/>
          <w:sz w:val="32"/>
          <w:szCs w:val="40"/>
        </w:rPr>
        <w:t>最高的公司获胜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全体组员获得优胜奖励。</w:t>
      </w:r>
    </w:p>
    <w:p w14:paraId="4673C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同时根据综合评分评选：</w:t>
      </w:r>
    </w:p>
    <w:p w14:paraId="54104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最佳CEO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40"/>
        </w:rPr>
        <w:t>最佳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财务管理总监、</w:t>
      </w:r>
      <w:r>
        <w:rPr>
          <w:rFonts w:hint="eastAsia" w:ascii="仿宋_GB2312" w:hAnsi="仿宋_GB2312" w:eastAsia="仿宋_GB2312" w:cs="仿宋_GB2312"/>
          <w:sz w:val="32"/>
          <w:szCs w:val="40"/>
        </w:rPr>
        <w:t>最佳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生产采购总监、</w:t>
      </w:r>
      <w:r>
        <w:rPr>
          <w:rFonts w:hint="eastAsia" w:ascii="仿宋_GB2312" w:hAnsi="仿宋_GB2312" w:eastAsia="仿宋_GB2312" w:cs="仿宋_GB2312"/>
          <w:sz w:val="32"/>
          <w:szCs w:val="40"/>
        </w:rPr>
        <w:t>最佳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销售科创总监、最佳投资人</w:t>
      </w:r>
      <w:r>
        <w:rPr>
          <w:rFonts w:hint="eastAsia" w:ascii="仿宋_GB2312" w:hAnsi="仿宋_GB2312" w:eastAsia="仿宋_GB2312" w:cs="仿宋_GB2312"/>
          <w:sz w:val="32"/>
          <w:szCs w:val="40"/>
        </w:rPr>
        <w:t>。</w:t>
      </w:r>
    </w:p>
    <w:p w14:paraId="3B796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破产</w:t>
      </w:r>
      <w:r>
        <w:rPr>
          <w:rFonts w:hint="eastAsia" w:ascii="仿宋_GB2312" w:hAnsi="仿宋_GB2312" w:eastAsia="仿宋_GB2312" w:cs="仿宋_GB2312"/>
          <w:sz w:val="32"/>
          <w:szCs w:val="40"/>
        </w:rPr>
        <w:t>机制：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游戏过程中现金流断裂或所有者权益最终年度为负数的</w:t>
      </w:r>
      <w:r>
        <w:rPr>
          <w:rFonts w:hint="eastAsia" w:ascii="仿宋_GB2312" w:hAnsi="仿宋_GB2312" w:eastAsia="仿宋_GB2312" w:cs="仿宋_GB2312"/>
          <w:sz w:val="32"/>
          <w:szCs w:val="40"/>
        </w:rPr>
        <w:t>公司破产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倒闭</w:t>
      </w:r>
      <w:r>
        <w:rPr>
          <w:rFonts w:hint="eastAsia" w:ascii="仿宋_GB2312" w:hAnsi="仿宋_GB2312" w:eastAsia="仿宋_GB2312" w:cs="仿宋_GB2312"/>
          <w:sz w:val="32"/>
          <w:szCs w:val="40"/>
        </w:rPr>
        <w:t>。</w:t>
      </w:r>
    </w:p>
    <w:p w14:paraId="5C3D5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20" w:firstLineChars="200"/>
        <w:textAlignment w:val="auto"/>
        <w:rPr>
          <w:rFonts w:hint="eastAsia" w:ascii="黑体" w:hAnsi="黑体" w:eastAsia="黑体" w:cs="黑体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二、</w:t>
      </w:r>
      <w:r>
        <w:rPr>
          <w:rFonts w:hint="eastAsia" w:ascii="黑体" w:hAnsi="黑体" w:eastAsia="黑体" w:cs="黑体"/>
          <w:sz w:val="36"/>
          <w:szCs w:val="44"/>
        </w:rPr>
        <w:t>核心规则</w:t>
      </w:r>
    </w:p>
    <w:p w14:paraId="3BE2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（一）资金</w:t>
      </w:r>
    </w:p>
    <w:p w14:paraId="2AF2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每一个非白色蓝色筹码代表1M（100万元），每一个白色及蓝色筹码代表5M（500万元）。</w:t>
      </w:r>
    </w:p>
    <w:p w14:paraId="19DB9B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  <w:t>项目订单</w:t>
      </w:r>
    </w:p>
    <w:p w14:paraId="22123F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分为贸易项目订单、</w:t>
      </w:r>
      <w:r>
        <w:rPr>
          <w:rFonts w:hint="eastAsia" w:ascii="仿宋_GB2312" w:hAnsi="仿宋_GB2312" w:eastAsia="仿宋_GB2312" w:cs="仿宋_GB2312"/>
          <w:sz w:val="32"/>
          <w:szCs w:val="40"/>
        </w:rPr>
        <w:t>集成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项目订单</w:t>
      </w:r>
      <w:r>
        <w:rPr>
          <w:rFonts w:hint="eastAsia" w:ascii="仿宋_GB2312" w:hAnsi="仿宋_GB2312" w:eastAsia="仿宋_GB2312" w:cs="仿宋_GB2312"/>
          <w:sz w:val="32"/>
          <w:szCs w:val="40"/>
        </w:rPr>
        <w:t>、服务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项目订单</w:t>
      </w:r>
      <w:r>
        <w:rPr>
          <w:rFonts w:hint="eastAsia" w:ascii="仿宋_GB2312" w:hAnsi="仿宋_GB2312" w:eastAsia="仿宋_GB2312" w:cs="仿宋_GB2312"/>
          <w:sz w:val="32"/>
          <w:szCs w:val="40"/>
        </w:rPr>
        <w:t>、科创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项目订单。每年游戏开始前各公司需根据当年市场情况，投标项目。</w:t>
      </w:r>
    </w:p>
    <w:p w14:paraId="495A43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  <w:t>原料</w:t>
      </w:r>
    </w:p>
    <w:p w14:paraId="39052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项目的原始原料，每季度支付前一季度订购的项目材料费，并将订单移至项目库。</w:t>
      </w:r>
    </w:p>
    <w:p w14:paraId="224C56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  <w:t>市场培育</w:t>
      </w:r>
    </w:p>
    <w:p w14:paraId="000EA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1.市场分为本地、全国、亚太、全球四个市场，</w:t>
      </w:r>
      <w:r>
        <w:rPr>
          <w:rFonts w:hint="eastAsia" w:ascii="仿宋_GB2312" w:hAnsi="仿宋_GB2312" w:eastAsia="仿宋_GB2312" w:cs="仿宋_GB2312"/>
          <w:sz w:val="32"/>
          <w:szCs w:val="40"/>
        </w:rPr>
        <w:t>每年可在每个市场投入1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00万元。</w:t>
      </w:r>
    </w:p>
    <w:p w14:paraId="3EEE2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2.取得市场资格后，当年不投入该市场费用，则取消该市场资格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</w:p>
    <w:p w14:paraId="510FF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（五）贷款</w:t>
      </w:r>
    </w:p>
    <w:p w14:paraId="0AFCC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1、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每年年末可进行长期贷款，</w:t>
      </w:r>
      <w:r>
        <w:rPr>
          <w:rFonts w:hint="eastAsia" w:ascii="仿宋_GB2312" w:hAnsi="仿宋_GB2312" w:eastAsia="仿宋_GB2312" w:cs="仿宋_GB2312"/>
          <w:sz w:val="32"/>
          <w:szCs w:val="40"/>
        </w:rPr>
        <w:t>长期贷款期限为5年，短期贷款期限为4个季度。长期贷款合计不超过上一年所有者权益的2倍，短期贷款短期贷款和长期贷款合计不超过上一年所有者权益的3倍。</w:t>
      </w:r>
    </w:p>
    <w:p w14:paraId="34C28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2、长期贷款每年底按5%计提利息，每年底偿还到期贷款和办理新贷款，并调整账期。</w:t>
      </w:r>
    </w:p>
    <w:p w14:paraId="4D3FA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3、短期贷款每季度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开始</w:t>
      </w:r>
      <w:r>
        <w:rPr>
          <w:rFonts w:hint="eastAsia" w:ascii="仿宋_GB2312" w:hAnsi="仿宋_GB2312" w:eastAsia="仿宋_GB2312" w:cs="仿宋_GB2312"/>
          <w:sz w:val="32"/>
          <w:szCs w:val="40"/>
        </w:rPr>
        <w:t>可以办理，短期贷款到期时，按10%计提利息，一次性支付本金和利息。</w:t>
      </w:r>
    </w:p>
    <w:p w14:paraId="4B892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（六）体系建设</w:t>
      </w:r>
    </w:p>
    <w:p w14:paraId="62ACC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体系建设需投入1M，之后</w:t>
      </w:r>
      <w:r>
        <w:rPr>
          <w:rFonts w:hint="eastAsia" w:ascii="仿宋_GB2312" w:hAnsi="仿宋_GB2312" w:eastAsia="仿宋_GB2312" w:cs="仿宋_GB2312"/>
          <w:sz w:val="32"/>
          <w:szCs w:val="40"/>
        </w:rPr>
        <w:t>每年必须年审否则重新认定</w:t>
      </w:r>
    </w:p>
    <w:p w14:paraId="7B69C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（七）市场经营</w:t>
      </w:r>
    </w:p>
    <w:p w14:paraId="65271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40"/>
        </w:rPr>
        <w:t>质量、环境健康体系认证企业</w:t>
      </w:r>
    </w:p>
    <w:p w14:paraId="23D49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中标集成、服务、科创项目的前提条件，中标同类高价、优质项目的前提条件。</w:t>
      </w:r>
    </w:p>
    <w:p w14:paraId="2BADE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取证条件：完成3体系认定，并在后续年度，通过年审</w:t>
      </w:r>
    </w:p>
    <w:p w14:paraId="557AA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40"/>
        </w:rPr>
        <w:t>高新技术企业</w:t>
      </w:r>
    </w:p>
    <w:p w14:paraId="1D986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中标科创项目的前提条件，可按15%征收所得税，减免数据中心B租金3年，奖励现金5M。</w:t>
      </w:r>
    </w:p>
    <w:p w14:paraId="08A54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取证条件：近3年研发投入占比达到5%以上，上年度60%以上收入属高新技术收入。（贸易项目不计入高新，集成项目计入80%，服务项目计入90%、科创项目全额计入）</w:t>
      </w:r>
    </w:p>
    <w:p w14:paraId="03090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40"/>
        </w:rPr>
        <w:t>专精特新小巨人企业</w:t>
      </w:r>
    </w:p>
    <w:p w14:paraId="098DC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减免数据中心A租金3年，奖励现金5M。</w:t>
      </w:r>
    </w:p>
    <w:p w14:paraId="449FA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取证条件:上年收入50M以上,近3年研发投入占比达到4%以上，且上年研发投入达到10M以上，集成、服务、科创项目其中一个项目在上年度行业收入达到第一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</w:p>
    <w:p w14:paraId="2BF11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（八）数据中心、工程师、设备</w:t>
      </w:r>
    </w:p>
    <w:p w14:paraId="472EF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1.数据中心：用于设备放置，共有3种选择。数据中心A租金4M/年，市场价值40M；数据中心B租金3M/年，市场价值32M；数据中心C租2M/年，市场价值16M。</w:t>
      </w:r>
    </w:p>
    <w:p w14:paraId="43498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2.工程师：操作项目设备的人员，分为初级、中级、高级工程师，不同等级的工程师需要公司投入资金培养。其中</w:t>
      </w:r>
      <w:r>
        <w:rPr>
          <w:rFonts w:hint="eastAsia" w:ascii="仿宋_GB2312" w:hAnsi="仿宋_GB2312" w:eastAsia="仿宋_GB2312" w:cs="仿宋_GB2312"/>
          <w:sz w:val="32"/>
          <w:szCs w:val="40"/>
        </w:rPr>
        <w:t>初级-中级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</w:rPr>
        <w:t>1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M</w:t>
      </w:r>
      <w:r>
        <w:rPr>
          <w:rFonts w:hint="eastAsia" w:ascii="仿宋_GB2312" w:hAnsi="仿宋_GB2312" w:eastAsia="仿宋_GB2312" w:cs="仿宋_GB2312"/>
          <w:sz w:val="32"/>
          <w:szCs w:val="40"/>
        </w:rPr>
        <w:t>/季共需2季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40"/>
        </w:rPr>
        <w:t>中级-高级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</w:rPr>
        <w:t>1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M</w:t>
      </w:r>
      <w:r>
        <w:rPr>
          <w:rFonts w:hint="eastAsia" w:ascii="仿宋_GB2312" w:hAnsi="仿宋_GB2312" w:eastAsia="仿宋_GB2312" w:cs="仿宋_GB2312"/>
          <w:sz w:val="32"/>
          <w:szCs w:val="40"/>
        </w:rPr>
        <w:t>/季共需2季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待岗工程师需</w:t>
      </w:r>
      <w:r>
        <w:rPr>
          <w:rFonts w:hint="eastAsia" w:ascii="仿宋_GB2312" w:hAnsi="仿宋_GB2312" w:eastAsia="仿宋_GB2312" w:cs="仿宋_GB2312"/>
          <w:sz w:val="32"/>
          <w:szCs w:val="40"/>
        </w:rPr>
        <w:t>1M/人/季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招聘解雇工程师需要1M。</w:t>
      </w:r>
    </w:p>
    <w:p w14:paraId="7C6F9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3.设备：做项目的基础条件，不同设备生产效率不同，生产效率越高的设备，建设周期及建设资金越高，需要工程师等级越高。共分为</w:t>
      </w:r>
      <w:r>
        <w:rPr>
          <w:rFonts w:hint="eastAsia" w:ascii="仿宋_GB2312" w:hAnsi="仿宋_GB2312" w:eastAsia="仿宋_GB2312" w:cs="仿宋_GB2312"/>
          <w:sz w:val="32"/>
          <w:szCs w:val="40"/>
        </w:rPr>
        <w:t>服务器网络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设备（需初级工程师操作），</w:t>
      </w:r>
      <w:r>
        <w:rPr>
          <w:rFonts w:hint="eastAsia" w:ascii="仿宋_GB2312" w:hAnsi="仿宋_GB2312" w:eastAsia="仿宋_GB2312" w:cs="仿宋_GB2312"/>
          <w:sz w:val="32"/>
          <w:szCs w:val="40"/>
        </w:rPr>
        <w:t>虚拟化算力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设备（需中级工程师操作），</w:t>
      </w:r>
      <w:r>
        <w:rPr>
          <w:rFonts w:hint="eastAsia" w:ascii="仿宋_GB2312" w:hAnsi="仿宋_GB2312" w:eastAsia="仿宋_GB2312" w:cs="仿宋_GB2312"/>
          <w:sz w:val="32"/>
          <w:szCs w:val="40"/>
        </w:rPr>
        <w:t>云计算技术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设备（需高级工程师操作），</w:t>
      </w:r>
      <w:r>
        <w:rPr>
          <w:rFonts w:hint="eastAsia" w:ascii="仿宋_GB2312" w:hAnsi="仿宋_GB2312" w:eastAsia="仿宋_GB2312" w:cs="仿宋_GB2312"/>
          <w:sz w:val="32"/>
          <w:szCs w:val="40"/>
        </w:rPr>
        <w:t>智能云计算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设备四种（需高级工程师操作）。</w:t>
      </w:r>
    </w:p>
    <w:p w14:paraId="46AC1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（九）项目交付</w:t>
      </w:r>
    </w:p>
    <w:p w14:paraId="35EAA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项目交付需按照年初订单按时按量交付，</w:t>
      </w:r>
      <w:r>
        <w:rPr>
          <w:rFonts w:hint="eastAsia" w:ascii="仿宋_GB2312" w:hAnsi="仿宋_GB2312" w:eastAsia="仿宋_GB2312" w:cs="仿宋_GB2312"/>
          <w:sz w:val="32"/>
          <w:szCs w:val="40"/>
        </w:rPr>
        <w:t>所有未能按时交付的</w:t>
      </w:r>
      <w:bookmarkStart w:id="0" w:name="OLE_LINK4"/>
      <w:bookmarkStart w:id="1" w:name="OLE_LINK3"/>
      <w:r>
        <w:rPr>
          <w:rFonts w:hint="eastAsia" w:ascii="仿宋_GB2312" w:hAnsi="仿宋_GB2312" w:eastAsia="仿宋_GB2312" w:cs="仿宋_GB2312"/>
          <w:sz w:val="32"/>
          <w:szCs w:val="40"/>
        </w:rPr>
        <w:t>项目</w:t>
      </w:r>
      <w:bookmarkEnd w:id="0"/>
      <w:bookmarkEnd w:id="1"/>
      <w:r>
        <w:rPr>
          <w:rFonts w:hint="eastAsia" w:ascii="仿宋_GB2312" w:hAnsi="仿宋_GB2312" w:eastAsia="仿宋_GB2312" w:cs="仿宋_GB2312"/>
          <w:sz w:val="32"/>
          <w:szCs w:val="40"/>
        </w:rPr>
        <w:t>按75%结算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</w:p>
    <w:p w14:paraId="3AB28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eastAsia="zh-CN"/>
        </w:rPr>
        <w:t>（</w:t>
      </w: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十</w:t>
      </w: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eastAsia="zh-CN"/>
        </w:rPr>
        <w:t>）</w:t>
      </w:r>
      <w:r>
        <w:rPr>
          <w:rFonts w:hint="eastAsia" w:ascii="楷体_GB2312" w:hAnsi="楷体_GB2312" w:eastAsia="楷体_GB2312" w:cs="楷体_GB2312"/>
          <w:b/>
          <w:bCs/>
          <w:sz w:val="32"/>
          <w:szCs w:val="40"/>
        </w:rPr>
        <w:t>科技创新</w:t>
      </w:r>
    </w:p>
    <w:p w14:paraId="5237F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各公司需根据本公司的经营情况进行</w:t>
      </w:r>
      <w:r>
        <w:rPr>
          <w:rFonts w:hint="eastAsia" w:ascii="仿宋_GB2312" w:hAnsi="仿宋_GB2312" w:eastAsia="仿宋_GB2312" w:cs="仿宋_GB2312"/>
          <w:sz w:val="32"/>
          <w:szCs w:val="40"/>
        </w:rPr>
        <w:t>新技术研发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40"/>
        </w:rPr>
        <w:t>集成项目研发周期为4季，每季可投1M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40"/>
        </w:rPr>
        <w:t>服务项目研发周期为6季，每季可投</w:t>
      </w:r>
      <w:bookmarkStart w:id="2" w:name="_GoBack"/>
      <w:r>
        <w:rPr>
          <w:rFonts w:hint="eastAsia" w:ascii="仿宋_GB2312" w:hAnsi="仿宋_GB2312" w:eastAsia="仿宋_GB2312" w:cs="仿宋_GB2312"/>
          <w:sz w:val="32"/>
          <w:szCs w:val="40"/>
        </w:rPr>
        <w:t>2</w:t>
      </w:r>
      <w:bookmarkEnd w:id="2"/>
      <w:r>
        <w:rPr>
          <w:rFonts w:hint="eastAsia" w:ascii="仿宋_GB2312" w:hAnsi="仿宋_GB2312" w:eastAsia="仿宋_GB2312" w:cs="仿宋_GB2312"/>
          <w:sz w:val="32"/>
          <w:szCs w:val="40"/>
        </w:rPr>
        <w:t>M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40"/>
        </w:rPr>
        <w:t>科创项目研发周期为6季，每季可投3M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</w:p>
    <w:p w14:paraId="534A8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40"/>
          <w:lang w:val="en-US" w:eastAsia="zh-CN"/>
        </w:rPr>
        <w:t>（十一）其他需说明事项</w:t>
      </w:r>
    </w:p>
    <w:p w14:paraId="21111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1.新建设备按季平均投入建设资金到在建设备中，投资完成后，分别计入设备残值和待折资产，待折资产每年底按1/3计提折旧</w:t>
      </w:r>
    </w:p>
    <w:p w14:paraId="6BB7A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2.管理人员费用按每季1M计提</w:t>
      </w:r>
    </w:p>
    <w:p w14:paraId="6CC83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3.市场竞标为当年竞标订单的市场投入</w:t>
      </w:r>
    </w:p>
    <w:p w14:paraId="73B15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4.设备维护费每年底，按每个设备1M计提</w:t>
      </w:r>
    </w:p>
    <w:p w14:paraId="5215A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5.短期和长期贷款利息按实际发生金额计提</w:t>
      </w:r>
    </w:p>
    <w:p w14:paraId="6C9F4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40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</w:rPr>
        <w:t>6.折现可从应收账款取出8M，其中7M进入现金，1M进入折现费用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。</w:t>
      </w:r>
    </w:p>
    <w:sectPr>
      <w:pgSz w:w="11906" w:h="16838"/>
      <w:pgMar w:top="510" w:right="567" w:bottom="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3C069"/>
    <w:multiLevelType w:val="singleLevel"/>
    <w:tmpl w:val="2383C069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E2686"/>
    <w:rsid w:val="01746AF4"/>
    <w:rsid w:val="01EF572E"/>
    <w:rsid w:val="03443858"/>
    <w:rsid w:val="04155920"/>
    <w:rsid w:val="084700B0"/>
    <w:rsid w:val="097574E7"/>
    <w:rsid w:val="0DE40111"/>
    <w:rsid w:val="0F8B118C"/>
    <w:rsid w:val="10576517"/>
    <w:rsid w:val="108A31F2"/>
    <w:rsid w:val="11117F25"/>
    <w:rsid w:val="136E0BA9"/>
    <w:rsid w:val="15205444"/>
    <w:rsid w:val="152446DB"/>
    <w:rsid w:val="1A974E89"/>
    <w:rsid w:val="1C1D7B50"/>
    <w:rsid w:val="1DB85288"/>
    <w:rsid w:val="1FD20711"/>
    <w:rsid w:val="213B3251"/>
    <w:rsid w:val="224E1EC2"/>
    <w:rsid w:val="22FA4207"/>
    <w:rsid w:val="23432A54"/>
    <w:rsid w:val="23CE2F9E"/>
    <w:rsid w:val="240B41F2"/>
    <w:rsid w:val="25453733"/>
    <w:rsid w:val="25C87B35"/>
    <w:rsid w:val="28771E56"/>
    <w:rsid w:val="2ED94C4C"/>
    <w:rsid w:val="3014442E"/>
    <w:rsid w:val="34BB131C"/>
    <w:rsid w:val="34FC0377"/>
    <w:rsid w:val="35184367"/>
    <w:rsid w:val="37D571E0"/>
    <w:rsid w:val="39D15128"/>
    <w:rsid w:val="3A032B44"/>
    <w:rsid w:val="3A312F9A"/>
    <w:rsid w:val="3ACF167E"/>
    <w:rsid w:val="3AFB2473"/>
    <w:rsid w:val="3D787406"/>
    <w:rsid w:val="3E4B428C"/>
    <w:rsid w:val="3EE76488"/>
    <w:rsid w:val="419D5C0B"/>
    <w:rsid w:val="43AC1C33"/>
    <w:rsid w:val="466C1CF7"/>
    <w:rsid w:val="47CF0C30"/>
    <w:rsid w:val="48D507A7"/>
    <w:rsid w:val="498848B6"/>
    <w:rsid w:val="4A0838D4"/>
    <w:rsid w:val="4B033795"/>
    <w:rsid w:val="4D773F0A"/>
    <w:rsid w:val="4F9B6938"/>
    <w:rsid w:val="50A76ECD"/>
    <w:rsid w:val="50F66786"/>
    <w:rsid w:val="51A96C75"/>
    <w:rsid w:val="54EC084A"/>
    <w:rsid w:val="55F36710"/>
    <w:rsid w:val="5AD66FBE"/>
    <w:rsid w:val="5C1D0043"/>
    <w:rsid w:val="62DF2184"/>
    <w:rsid w:val="63A252D2"/>
    <w:rsid w:val="6433404C"/>
    <w:rsid w:val="67763FB5"/>
    <w:rsid w:val="68560060"/>
    <w:rsid w:val="687E630D"/>
    <w:rsid w:val="68CC243A"/>
    <w:rsid w:val="695452C0"/>
    <w:rsid w:val="6B2313EE"/>
    <w:rsid w:val="6B316B27"/>
    <w:rsid w:val="6C7B7A5F"/>
    <w:rsid w:val="70DF5679"/>
    <w:rsid w:val="7210301E"/>
    <w:rsid w:val="74EC137A"/>
    <w:rsid w:val="75175B20"/>
    <w:rsid w:val="75355FA6"/>
    <w:rsid w:val="762229CE"/>
    <w:rsid w:val="78543710"/>
    <w:rsid w:val="78970D25"/>
    <w:rsid w:val="79A41030"/>
    <w:rsid w:val="7C175A76"/>
    <w:rsid w:val="7C3650DE"/>
    <w:rsid w:val="7E6D4A02"/>
    <w:rsid w:val="7FAF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1760</Words>
  <Characters>1876</Characters>
  <Lines>0</Lines>
  <Paragraphs>0</Paragraphs>
  <TotalTime>4</TotalTime>
  <ScaleCrop>false</ScaleCrop>
  <LinksUpToDate>false</LinksUpToDate>
  <CharactersWithSpaces>1882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2025-04-11T02:30:00Z</dcterms:created>
  <dc:creator>wang</dc:creator>
  <cp:lastModifiedBy>饼饼</cp:lastModifiedBy>
  <dcterms:modified xsi:type="dcterms:W3CDTF">2025-04-11T10:30:23Z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eyJoZGlkIjoiNjlhZDAxYjRjNDZjOWNmMjI4NjU3M2MzZDg1OTA0N2UiLCJ1c2VySWQiOiIzMjczNDAxMDgifQ==</vt:lpwstr>
  </property>
  <property fmtid="{D5CDD505-2E9C-101B-9397-08002B2CF9AE}" pid="4" name="ICV">
    <vt:lpwstr>713386BBD0544EEA949DCFD86462DB0C_13</vt:lpwstr>
  </property>
</Properties>
</file>