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C9A961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PingFang SC"/>
          <w:b/>
          <w:color w:val="1A2744"/>
          <w:sz w:val="56"/>
        </w:rPr>
        <w:t>投资分析报告</w:t>
      </w:r>
    </w:p>
    <w:p>
      <w:pPr>
        <w:jc w:val="center"/>
      </w:pPr>
      <w:r>
        <w:rPr>
          <w:rFonts w:eastAsia="PingFang SC"/>
          <w:color w:val="333333"/>
          <w:sz w:val="32"/>
        </w:rPr>
        <w:t>示例光伏电站项目 (100MW)</w:t>
      </w:r>
    </w:p>
    <w:p/>
    <w:p/>
    <w:p/>
    <w:p>
      <w:pPr>
        <w:jc w:val="center"/>
      </w:pPr>
      <w:r>
        <w:rPr>
          <w:rFonts w:eastAsia="PingFang SC"/>
          <w:color w:val="555555"/>
          <w:sz w:val="22"/>
        </w:rPr>
        <w:t>项目名称：示例光伏电站项目 (100MW)</w:t>
      </w:r>
    </w:p>
    <w:p>
      <w:pPr>
        <w:jc w:val="center"/>
      </w:pPr>
      <w:r>
        <w:rPr>
          <w:rFonts w:eastAsia="PingFang SC"/>
          <w:color w:val="555555"/>
          <w:sz w:val="22"/>
        </w:rPr>
        <w:t>项目类型：光伏发电</w:t>
      </w:r>
    </w:p>
    <w:p>
      <w:pPr>
        <w:jc w:val="center"/>
      </w:pPr>
      <w:r>
        <w:rPr>
          <w:rFonts w:eastAsia="PingFang SC"/>
          <w:color w:val="555555"/>
          <w:sz w:val="22"/>
        </w:rPr>
        <w:t>装机容量：100 MW</w:t>
      </w:r>
    </w:p>
    <w:p>
      <w:pPr>
        <w:jc w:val="center"/>
      </w:pPr>
      <w:r>
        <w:rPr>
          <w:rFonts w:eastAsia="PingFang SC"/>
          <w:color w:val="555555"/>
          <w:sz w:val="22"/>
        </w:rPr>
        <w:t>项目地点：甘肃省酒泉市</w:t>
      </w:r>
    </w:p>
    <w:p>
      <w:pPr>
        <w:jc w:val="center"/>
      </w:pPr>
      <w:r>
        <w:rPr>
          <w:rFonts w:eastAsia="PingFang SC"/>
          <w:color w:val="555555"/>
          <w:sz w:val="22"/>
        </w:rPr>
        <w:t>报告日期：2026年07月30日</w:t>
      </w:r>
    </w:p>
    <w:p>
      <w:pPr>
        <w:jc w:val="center"/>
      </w:pPr>
      <w:r>
        <w:rPr>
          <w:rFonts w:eastAsia="PingFang SC"/>
          <w:color w:val="555555"/>
          <w:sz w:val="22"/>
        </w:rPr>
        <w:t>机密等级：【机密】</w:t>
      </w:r>
    </w:p>
    <w:p>
      <w:pPr>
        <w:jc w:val="center"/>
      </w:pPr>
      <w:r>
        <w:rPr>
          <w:rFonts w:eastAsia="PingFang SC"/>
          <w:color w:val="555555"/>
          <w:sz w:val="22"/>
        </w:rPr>
        <w:t>生成方式：AI 辅助生成 + 人工审核</w:t>
      </w:r>
    </w:p>
    <w:p/>
    <w:p>
      <w:pPr>
        <w:jc w:val="center"/>
      </w:pPr>
      <w:r>
        <w:rPr>
          <w:color w:val="C9A961"/>
          <w:sz w:val="24"/>
        </w:rPr>
        <w:t>━━━━━━━━━━━━━━━━━━━━━━━━━━━━━━</w:t>
      </w:r>
    </w:p>
    <w:p>
      <w:r>
        <w:br w:type="page"/>
      </w:r>
    </w:p>
    <w:p>
      <w:pPr>
        <w:jc w:val="center"/>
      </w:pPr>
      <w:r>
        <w:rPr>
          <w:rFonts w:eastAsia="PingFang SC"/>
          <w:b/>
          <w:color w:val="1A2744"/>
          <w:sz w:val="40"/>
        </w:rPr>
        <w:t>目  录</w:t>
      </w:r>
    </w:p>
    <w:p/>
    <w:p>
      <w:r>
        <w:fldChar w:fldCharType="begin"/>
        <w:instrText xml:space="preserve">TOC \o "1-3" \h \z \u</w:instrText>
        <w:fldChar w:fldCharType="separate"/>
        <w:t>右键此处 → 更新域 可生成带页码的目录</w:t>
        <w:fldChar w:fldCharType="end"/>
      </w:r>
    </w:p>
    <w:p/>
    <w:p>
      <w:r>
        <w:rPr>
          <w:rFonts w:eastAsia="PingFang SC"/>
          <w:sz w:val="24"/>
        </w:rPr>
        <w:t>第1章  执行摘要</w:t>
      </w:r>
    </w:p>
    <w:p>
      <w:r>
        <w:rPr>
          <w:rFonts w:eastAsia="PingFang SC"/>
          <w:sz w:val="24"/>
        </w:rPr>
        <w:t>第2章  市场分析</w:t>
      </w:r>
    </w:p>
    <w:p>
      <w:r>
        <w:rPr>
          <w:rFonts w:eastAsia="PingFang SC"/>
          <w:sz w:val="24"/>
        </w:rPr>
        <w:t>第3章  财务模型</w:t>
      </w:r>
    </w:p>
    <w:p>
      <w:r>
        <w:rPr>
          <w:rFonts w:eastAsia="PingFang SC"/>
          <w:sz w:val="24"/>
        </w:rPr>
        <w:t>第4章  敏感性分析</w:t>
      </w:r>
    </w:p>
    <w:p>
      <w:r>
        <w:rPr>
          <w:rFonts w:eastAsia="PingFang SC"/>
          <w:sz w:val="24"/>
        </w:rPr>
        <w:t>第5章  ESG评估</w:t>
      </w:r>
    </w:p>
    <w:p>
      <w:r>
        <w:rPr>
          <w:rFonts w:eastAsia="PingFang SC"/>
          <w:sz w:val="24"/>
        </w:rPr>
        <w:t>第6章  投资建议</w:t>
      </w:r>
    </w:p>
    <w:p>
      <w:r>
        <w:rPr>
          <w:rFonts w:eastAsia="PingFang SC"/>
          <w:color w:val="888888"/>
          <w:sz w:val="24"/>
        </w:rPr>
        <w:t>附录</w:t>
      </w:r>
    </w:p>
    <w:p>
      <w:r>
        <w:br w:type="page"/>
      </w:r>
    </w:p>
    <w:p>
      <w:pPr>
        <w:pStyle w:val="Heading1"/>
      </w:pPr>
      <w:r>
        <w:rPr>
          <w:rFonts w:eastAsia="PingFang SC"/>
        </w:rPr>
        <w:t>第一章  执行摘要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本报告对「示例光伏电站项目 (100MW)」进行投资价值分析。项目装机容量 100 MW，总投资 3.60 亿元。经测算，项目 IRR 为 13.8%，NPV 为 2.14 亿元，投资回收期 8.0 年。</w:t>
      </w:r>
    </w:p>
    <w:p>
      <w:pPr>
        <w:pStyle w:val="Heading1"/>
      </w:pPr>
      <w:r>
        <w:rPr>
          <w:rFonts w:eastAsia="PingFang SC"/>
        </w:rPr>
        <w:t>第二章  市场分析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pStyle w:val="Heading2"/>
      </w:pPr>
      <w:r>
        <w:rPr>
          <w:rFonts w:eastAsia="PingFang SC"/>
        </w:rPr>
        <w:t>2.1 行业概况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在国家「双碳」目标驱动下，新能源行业持续高速增长。2024年全国光伏新增装机超 200GW，风电新增超 70GW。预计 2025-2030 年复合增长率维持在 15-20%。（这是预测，非确定）</w:t>
      </w:r>
    </w:p>
    <w:p>
      <w:pPr>
        <w:pStyle w:val="Heading2"/>
      </w:pPr>
      <w:r>
        <w:rPr>
          <w:rFonts w:eastAsia="PingFang SC"/>
        </w:rPr>
        <w:t>2.2 电价趋势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随着电力市场化改革推进，新能源上网电价逐步从标杆电价向市场化电价过渡。绿电交易和绿证制度为新能源项目提供额外溢价空间。</w:t>
      </w:r>
    </w:p>
    <w:p>
      <w:pPr>
        <w:pStyle w:val="Heading1"/>
      </w:pPr>
      <w:r>
        <w:rPr>
          <w:rFonts w:eastAsia="PingFang SC"/>
        </w:rPr>
        <w:t>第三章  财务模型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spacing w:after="80"/>
        <w:jc w:val="center"/>
      </w:pPr>
      <w:r>
        <w:rPr>
          <w:rFonts w:eastAsia="PingFang SC"/>
          <w:b/>
          <w:color w:val="555555"/>
          <w:sz w:val="18"/>
        </w:rPr>
        <w:t>表 1  财务模型核心指标与行业基准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835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2835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402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行业基准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NPV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2.14 亿元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&gt; 0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IRR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13.8%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≥ 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回收期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8.0 年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≤ 10 年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LCOE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0.1039 元/kWh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≤ 0.35 元/kWh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ROI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401.5%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≥ 50%</w:t>
            </w:r>
          </w:p>
        </w:tc>
      </w:tr>
    </w:tbl>
    <w:p/>
    <w:p>
      <w:pPr>
        <w:pStyle w:val="Heading1"/>
      </w:pPr>
      <w:r>
        <w:rPr>
          <w:rFonts w:eastAsia="PingFang SC"/>
        </w:rPr>
        <w:t>第四章  敏感性分析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以下分析关键变量变动 ±10% 对 IRR 的影响：</w:t>
      </w:r>
    </w:p>
    <w:p>
      <w:pPr>
        <w:spacing w:after="80"/>
        <w:jc w:val="center"/>
      </w:pPr>
      <w:r>
        <w:rPr>
          <w:rFonts w:eastAsia="PingFang SC"/>
          <w:b/>
          <w:color w:val="555555"/>
          <w:sz w:val="18"/>
        </w:rPr>
        <w:t>表 2  电价敏感性分析 (±10%)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835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电价变动</w:t>
            </w:r>
          </w:p>
        </w:tc>
        <w:tc>
          <w:tcPr>
            <w:tcW w:type="dxa" w:w="2835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调整后 IRR</w:t>
            </w:r>
          </w:p>
        </w:tc>
        <w:tc>
          <w:tcPr>
            <w:tcW w:type="dxa" w:w="3402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IRR 变化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-10.0%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12.1%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-1.7%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-5.0%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12.9%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-0.8%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+0.0%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13.8%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+0.0%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+5.0%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14.6%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+0.8%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+10.0%</w:t>
            </w:r>
          </w:p>
        </w:tc>
        <w:tc>
          <w:tcPr>
            <w:tcW w:type="dxa" w:w="2835"/>
          </w:tcPr>
          <w:p>
            <w:r/>
            <w:r>
              <w:rPr>
                <w:rFonts w:eastAsia="PingFang SC"/>
                <w:sz w:val="18"/>
              </w:rPr>
              <w:t>15.4%</w:t>
            </w:r>
          </w:p>
        </w:tc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+1.7%</w:t>
            </w:r>
          </w:p>
        </w:tc>
      </w:tr>
    </w:tbl>
    <w:p/>
    <w:p>
      <w:pPr>
        <w:pStyle w:val="Heading1"/>
      </w:pPr>
      <w:r>
        <w:rPr>
          <w:rFonts w:eastAsia="PingFang SC"/>
        </w:rPr>
        <w:t>第五章  ESG 评估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项目年发电量约 165.0 GWh，年等效减排 CO₂ 约 96.53 万吨。符合国家碳中和战略方向，ESG 评级为 A 级。</w:t>
      </w:r>
    </w:p>
    <w:p>
      <w:pPr>
        <w:pStyle w:val="Heading1"/>
      </w:pPr>
      <w:r>
        <w:rPr>
          <w:rFonts w:eastAsia="PingFang SC"/>
        </w:rPr>
        <w:t>第六章  投资建议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综合财务模型和风险分析，项目 IRR (13.8%) 高于行业基准 (8%)，NPV 为正。</w:t>
      </w:r>
    </w:p>
    <w:p>
      <w:pPr>
        <w:spacing w:after="120" w:line="400" w:lineRule="exact"/>
      </w:pPr>
      <w:r>
        <w:rPr>
          <w:rFonts w:eastAsia="PingFang SC"/>
          <w:b/>
          <w:color w:val="333333"/>
          <w:sz w:val="22"/>
        </w:rPr>
        <w:t>建议：推荐投资。项目财务指标良好，政策风险可控，ESG 效益显著。</w:t>
      </w:r>
    </w:p>
    <w:p>
      <w:r>
        <w:br w:type="page"/>
      </w:r>
    </w:p>
    <w:p>
      <w:pPr>
        <w:pStyle w:val="Heading1"/>
      </w:pPr>
      <w:r>
        <w:rPr>
          <w:rFonts w:eastAsia="PingFang SC"/>
        </w:rPr>
        <w:t>附录</w:t>
      </w:r>
    </w:p>
    <w:p>
      <w:r>
        <w:rPr>
          <w:color w:val="C9A961"/>
          <w:sz w:val="16"/>
        </w:rPr>
        <w:t>━━━━━━━━━━━━━━━━━━━━</w:t>
      </w:r>
    </w:p>
    <w:p>
      <w:pPr>
        <w:pStyle w:val="Heading2"/>
      </w:pPr>
      <w:r>
        <w:rPr>
          <w:rFonts w:eastAsia="PingFang SC"/>
        </w:rPr>
        <w:t>A. 假设条件</w:t>
      </w:r>
    </w:p>
    <w:p>
      <w:pPr>
        <w:spacing w:after="80"/>
        <w:jc w:val="center"/>
      </w:pPr>
      <w:r>
        <w:rPr>
          <w:rFonts w:eastAsia="PingFang SC"/>
          <w:b/>
          <w:color w:val="555555"/>
          <w:sz w:val="18"/>
        </w:rPr>
        <w:t>表 3  财务模型假设条件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3402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假设参数</w:t>
            </w:r>
          </w:p>
        </w:tc>
        <w:tc>
          <w:tcPr>
            <w:tcW w:type="dxa" w:w="5669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折现率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8.0%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电价年涨幅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2.0%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运维成本年涨幅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2.5%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组件年衰减率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0.5%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贷款比例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70.0%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贷款利率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4.5%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贷款期限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15 年</w:t>
            </w:r>
          </w:p>
        </w:tc>
      </w:tr>
    </w:tbl>
    <w:p/>
    <w:p>
      <w:pPr>
        <w:pStyle w:val="Heading2"/>
      </w:pPr>
      <w:r>
        <w:rPr>
          <w:rFonts w:eastAsia="PingFang SC"/>
        </w:rPr>
        <w:t>B. 数据来源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[1] 项目可行性研究资料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[2] 国家气象局辐射观测数据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[3] 当地电力公司电价政策文件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[4] 行业基准数据 (IRENA / IEA / CPIA)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[5] 中国人民银行贷款基准利率</w:t>
      </w:r>
    </w:p>
    <w:p>
      <w:pPr>
        <w:pStyle w:val="Heading2"/>
      </w:pPr>
      <w:r>
        <w:rPr>
          <w:rFonts w:eastAsia="PingFang SC"/>
        </w:rPr>
        <w:t>C. 免责声明</w:t>
      </w:r>
    </w:p>
    <w:p>
      <w:r>
        <w:rPr>
          <w:rFonts w:eastAsia="PingFang SC"/>
          <w:color w:val="888888"/>
          <w:sz w:val="18"/>
        </w:rPr>
        <w:t>本报告基于公开资料和项目方提供的数据编制，仅供参考。报告中的预测和结论受假设条件影响，实际结果可能与预测存在差异。报告制作方不对依据本报告做出的投资决策承担任何责任。未经书面许可，不得复制、转发或引用本报告内容。</w:t>
      </w:r>
    </w:p>
    <w:p>
      <w:pPr>
        <w:pStyle w:val="Heading2"/>
      </w:pPr>
      <w:r>
        <w:rPr>
          <w:rFonts w:eastAsia="PingFang SC"/>
        </w:rPr>
        <w:t>D. 数据溯源表</w:t>
      </w:r>
    </w:p>
    <w:p>
      <w:pPr>
        <w:spacing w:after="120" w:line="400" w:lineRule="exact"/>
      </w:pPr>
      <w:r>
        <w:rPr>
          <w:rFonts w:eastAsia="PingFang SC"/>
          <w:b w:val="0"/>
          <w:color w:val="333333"/>
          <w:sz w:val="22"/>
        </w:rPr>
        <w:t>下表列出报告关键数据项的来源标注；不确定或缺失的数据标「资料未及」，不作猜测。</w:t>
      </w:r>
    </w:p>
    <w:p>
      <w:pPr>
        <w:spacing w:after="80"/>
        <w:jc w:val="center"/>
      </w:pPr>
      <w:r>
        <w:rPr>
          <w:rFonts w:eastAsia="PingFang SC"/>
          <w:b/>
          <w:color w:val="555555"/>
          <w:sz w:val="18"/>
        </w:rPr>
        <w:t>表 4  数据溯源表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3402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5669"/>
            <w:shd w:fill="1A2744" w:val="clear"/>
          </w:tcPr>
          <w:p>
            <w:pPr>
              <w:jc w:val="center"/>
            </w:pPr>
            <w:r/>
            <w:r>
              <w:rPr>
                <w:rFonts w:eastAsia="PingFang SC"/>
                <w:b/>
                <w:color w:val="FFFFFF"/>
                <w:sz w:val="20"/>
              </w:rPr>
              <w:t>来源标注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项目名称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项目类型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装机容量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项目地点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货币单位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初始投资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年发电量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上网电价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PingFang SC"/>
                <w:sz w:val="18"/>
              </w:rPr>
              <w:t>折现率</w:t>
            </w:r>
          </w:p>
        </w:tc>
        <w:tc>
          <w:tcPr>
            <w:tcW w:type="dxa" w:w="5669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  <w:tr>
        <w:tc>
          <w:tcPr>
            <w:tcW w:type="dxa" w:w="3402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年运维成本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eastAsia="PingFang SC"/>
                <w:sz w:val="18"/>
              </w:rPr>
              <w:t>演示数据</w:t>
            </w:r>
          </w:p>
        </w:tc>
      </w:tr>
    </w:tbl>
    <w:p/>
    <w:p>
      <w:r>
        <w:rPr>
          <w:rFonts w:eastAsia="PingFang SC"/>
          <w:i/>
          <w:color w:val="888888"/>
          <w:sz w:val="18"/>
        </w:rPr>
        <w:t>本内容仅供研究参考，不构成投资建议。投资有风险，决策需谨慎。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【机密】  第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>
      <w:rPr>
        <w:color w:val="888888"/>
        <w:sz w:val="16"/>
      </w:rPr>
      <w:fldChar w:fldCharType="end"/>
    </w:r>
    <w:r>
      <w:rPr>
        <w:color w:val="888888"/>
        <w:sz w:val="16"/>
      </w:rPr>
      <w:t xml:space="preserve"> 页 共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NUMPAGES </w:instrText>
    </w:r>
    <w:r>
      <w:rPr>
        <w:color w:val="888888"/>
        <w:sz w:val="16"/>
      </w:rPr>
      <w:fldChar w:fldCharType="end"/>
    </w:r>
    <w:r>
      <w:rPr>
        <w:color w:val="88888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888888"/>
        <w:sz w:val="16"/>
      </w:rPr>
      <w:t>新能源项目投资分析报告（演示数据）</w:t>
    </w:r>
  </w:p>
  <w:p>
    <w:p>
      <w:r>
        <w:pict>
          <v:shape id="PowerPlusWaterMarkObject" o:spid="#_x0000_s2049" type="#_x0000_t136" style="position:absolute;margin-left:0;margin-top:0;width:468pt;height:117pt;rotation:315;z-index:-251654144;mso-position-horizontal:center;mso-position-horizontal-relative:margin;mso-position-vertical:center;mso-position-vertical-relative:margin" o:allowincell="f" fillcolor="#C0C0C0" stroked="f">
            <v:fill opacity=".1"/>
            <v:textpath style="font-family:&quot;Arial&quot;;font-size:1pt" text="EnergyIQ 研究参考"/>
          </v:shape>
        </w:pict>
      </w:r>
    </w:p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A2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44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EnergyIQ-AIGC</dc:creator>
  <cp:keywords/>
  <dc:description>generator=EnergyIQ-AIGC; generated_at=2026-07-30T12:52:27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