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微软雅黑" w:cs="微软雅黑" w:eastAsia="微软雅黑" w:hAnsi="微软雅黑"/>
          <w:color w:val="64748B"/>
          <w:sz w:val="18"/>
          <w:szCs w:val="18"/>
        </w:rPr>
        <w:t xml:space="preserve">新能源智库 · 测算报告 / 分布式光伏</w:t>
      </w:r>
    </w:p>
    <w:p>
      <w:pPr>
        <w:pStyle w:val="Title"/>
        <w:spacing w:after="120"/>
      </w:pPr>
      <w:r>
        <w:rPr>
          <w:rFonts w:ascii="微软雅黑" w:cs="微软雅黑" w:eastAsia="微软雅黑" w:hAnsi="微软雅黑"/>
          <w:b/>
          <w:bCs/>
          <w:sz w:val="36"/>
          <w:szCs w:val="36"/>
        </w:rPr>
        <w:t xml:space="preserve">示例项目：水平屋顶光伏</w:t>
      </w:r>
    </w:p>
    <w:p>
      <w:pPr>
        <w:spacing w:after="120"/>
      </w:pPr>
      <w:r>
        <w:rPr>
          <w:rFonts w:ascii="微软雅黑" w:cs="微软雅黑" w:eastAsia="微软雅黑" w:hAnsi="微软雅黑"/>
          <w:color w:val="475569"/>
          <w:sz w:val="19"/>
          <w:szCs w:val="19"/>
        </w:rPr>
        <w:t xml:space="preserve">编号：CR-U906E7770-20261027　项目所在地：江苏　测算日期：2026/10/27</w:t>
      </w:r>
    </w:p>
    <w:p>
      <w:pPr>
        <w:spacing w:after="120"/>
      </w:pPr>
      <w:r>
        <w:rPr>
          <w:rFonts w:ascii="微软雅黑" w:cs="微软雅黑" w:eastAsia="微软雅黑" w:hAnsi="微软雅黑"/>
          <w:color w:val="475569"/>
          <w:sz w:val="19"/>
          <w:szCs w:val="19"/>
        </w:rPr>
        <w:t xml:space="preserve">测算结果仅供参考，不构成投资建议。规则引擎测算，未含 AI 生成文字。</w:t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sz w:val="26"/>
          <w:szCs w:val="26"/>
        </w:rPr>
        <w:t xml:space="preserve">核心测算指标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</w:tblGrid>
      <w:tr>
        <w:tc>
          <w:p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指标</w:t>
            </w:r>
          </w:p>
        </w:tc>
        <w:tc>
          <w:p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数值</w:t>
            </w:r>
          </w:p>
        </w:tc>
      </w:tr>
      <w:tr>
        <w:tc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内部收益率（IRR）</w:t>
            </w:r>
          </w:p>
        </w:tc>
        <w:tc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19.95%</w:t>
            </w:r>
          </w:p>
        </w:tc>
      </w:tr>
      <w:tr>
        <w:tc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静态回收期</w:t>
            </w:r>
          </w:p>
        </w:tc>
        <w:tc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4.9 年</w:t>
            </w:r>
          </w:p>
        </w:tc>
      </w:tr>
      <w:tr>
        <w:tc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平准化度电成本（LCOE，折现）</w:t>
            </w:r>
          </w:p>
        </w:tc>
        <w:tc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0.265 元/度</w:t>
            </w:r>
          </w:p>
        </w:tc>
      </w:tr>
      <w:tr>
        <w:tc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总投资</w:t>
            </w:r>
          </w:p>
        </w:tc>
        <w:tc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300,000 元</w:t>
            </w:r>
          </w:p>
        </w:tc>
      </w:tr>
    </w:tbl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sz w:val="26"/>
          <w:szCs w:val="26"/>
        </w:rPr>
        <w:t xml:space="preserve">资源基础与发电分析</w:t>
      </w:r>
    </w:p>
    <w:p>
      <w:pPr>
        <w:spacing w:after="120"/>
      </w:pPr>
      <w:r>
        <w:rPr>
          <w:rFonts w:ascii="微软雅黑" w:cs="微软雅黑" w:eastAsia="微软雅黑" w:hAnsi="微软雅黑"/>
          <w:sz w:val="21"/>
          <w:szCs w:val="21"/>
        </w:rPr>
        <w:t xml:space="preserve">装机规模：100 kWp；首年发电量：125,194 kWh；等效利用小时数：1,252 h；系统性能比（PR）：83.5%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月份</w:t>
            </w:r>
          </w:p>
        </w:tc>
        <w:tc>
          <w:p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发电量（kWh）</w:t>
            </w:r>
          </w:p>
        </w:tc>
        <w:tc>
          <w:p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月份</w:t>
            </w:r>
          </w:p>
        </w:tc>
        <w:tc>
          <w:p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发电量（kWh）</w:t>
            </w:r>
          </w:p>
        </w:tc>
      </w:tr>
      <w:tr>
        <w:tc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1月</w:t>
            </w:r>
          </w:p>
        </w:tc>
        <w:tc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10,499</w:t>
            </w:r>
          </w:p>
        </w:tc>
        <w:tc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7月</w:t>
            </w:r>
          </w:p>
        </w:tc>
        <w:tc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10,752</w:t>
            </w:r>
          </w:p>
        </w:tc>
      </w:tr>
      <w:tr>
        <w:tc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2月</w:t>
            </w:r>
          </w:p>
        </w:tc>
        <w:tc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9,539</w:t>
            </w:r>
          </w:p>
        </w:tc>
        <w:tc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8月</w:t>
            </w:r>
          </w:p>
        </w:tc>
        <w:tc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10,715</w:t>
            </w:r>
          </w:p>
        </w:tc>
      </w:tr>
      <w:tr>
        <w:tc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3月</w:t>
            </w:r>
          </w:p>
        </w:tc>
        <w:tc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10,629</w:t>
            </w:r>
          </w:p>
        </w:tc>
        <w:tc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9月</w:t>
            </w:r>
          </w:p>
        </w:tc>
        <w:tc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10,313</w:t>
            </w:r>
          </w:p>
        </w:tc>
      </w:tr>
      <w:tr>
        <w:tc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4月</w:t>
            </w:r>
          </w:p>
        </w:tc>
        <w:tc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10,348</w:t>
            </w:r>
          </w:p>
        </w:tc>
        <w:tc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10月</w:t>
            </w:r>
          </w:p>
        </w:tc>
        <w:tc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10,588</w:t>
            </w:r>
          </w:p>
        </w:tc>
      </w:tr>
      <w:tr>
        <w:tc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5月</w:t>
            </w:r>
          </w:p>
        </w:tc>
        <w:tc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10,739</w:t>
            </w:r>
          </w:p>
        </w:tc>
        <w:tc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11月</w:t>
            </w:r>
          </w:p>
        </w:tc>
        <w:tc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10,178</w:t>
            </w:r>
          </w:p>
        </w:tc>
      </w:tr>
      <w:tr>
        <w:tc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6月</w:t>
            </w:r>
          </w:p>
        </w:tc>
        <w:tc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10,414</w:t>
            </w:r>
          </w:p>
        </w:tc>
        <w:tc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12月</w:t>
            </w:r>
          </w:p>
        </w:tc>
        <w:tc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10,480</w:t>
            </w:r>
          </w:p>
        </w:tc>
      </w:tr>
    </w:tbl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sz w:val="26"/>
          <w:szCs w:val="26"/>
        </w:rPr>
        <w:t xml:space="preserve">全生命周期现金流</w:t>
      </w:r>
    </w:p>
    <w:p>
      <w:pPr>
        <w:spacing w:after="120"/>
      </w:pPr>
      <w:r>
        <w:rPr>
          <w:rFonts w:ascii="微软雅黑" w:cs="微软雅黑" w:eastAsia="微软雅黑" w:hAnsi="微软雅黑"/>
          <w:sz w:val="19"/>
          <w:szCs w:val="19"/>
        </w:rPr>
        <w:t xml:space="preserve">主要假设（取自本次测算引擎）：衰减：首年按模型发电量计；第 2 年起较首年下降 1.5%，此后每年再下降 0.45%</w:t>
      </w:r>
    </w:p>
    <w:p>
      <w:pPr>
        <w:spacing w:after="120"/>
      </w:pPr>
      <w:r>
        <w:rPr>
          <w:rFonts w:ascii="微软雅黑" w:cs="微软雅黑" w:eastAsia="微软雅黑" w:hAnsi="微软雅黑"/>
          <w:sz w:val="19"/>
          <w:szCs w:val="19"/>
        </w:rPr>
        <w:t xml:space="preserve">年度运维费：初始投资的 1.0%，每年增长 2.0%</w:t>
      </w:r>
    </w:p>
    <w:p>
      <w:pPr>
        <w:spacing w:after="120"/>
      </w:pPr>
      <w:r>
        <w:rPr>
          <w:rFonts w:ascii="微软雅黑" w:cs="微软雅黑" w:eastAsia="微软雅黑" w:hAnsi="微软雅黑"/>
          <w:sz w:val="19"/>
          <w:szCs w:val="19"/>
        </w:rPr>
        <w:t xml:space="preserve">折现率：8.0%（净现值与平准化度电成本共用）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运营年份</w:t>
            </w:r>
          </w:p>
        </w:tc>
        <w:tc>
          <w:p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年度收入（元）</w:t>
            </w:r>
          </w:p>
        </w:tc>
        <w:tc>
          <w:p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净现金流（元）</w:t>
            </w:r>
          </w:p>
        </w:tc>
        <w:tc>
          <w:p>
            <w:r>
              <w:rPr>
                <w:rFonts w:ascii="微软雅黑" w:cs="微软雅黑" w:eastAsia="微软雅黑" w:hAnsi="微软雅黑"/>
                <w:b/>
                <w:bCs/>
                <w:sz w:val="19"/>
                <w:szCs w:val="19"/>
              </w:rPr>
              <w:t xml:space="preserve">累计现金流（元）</w:t>
            </w:r>
          </w:p>
        </w:tc>
      </w:tr>
      <w:tr>
        <w:tc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第 1 年</w:t>
            </w:r>
          </w:p>
        </w:tc>
        <w:tc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65,727</w:t>
            </w:r>
          </w:p>
        </w:tc>
        <w:tc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62,727</w:t>
            </w:r>
          </w:p>
        </w:tc>
        <w:tc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-237,273</w:t>
            </w:r>
          </w:p>
        </w:tc>
      </w:tr>
      <w:tr>
        <w:tc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第 5 年</w:t>
            </w:r>
          </w:p>
        </w:tc>
        <w:tc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63,872</w:t>
            </w:r>
          </w:p>
        </w:tc>
        <w:tc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60,624</w:t>
            </w:r>
          </w:p>
        </w:tc>
        <w:tc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7,338</w:t>
            </w:r>
          </w:p>
        </w:tc>
      </w:tr>
      <w:tr>
        <w:tc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第 10 年</w:t>
            </w:r>
          </w:p>
        </w:tc>
        <w:tc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62,447</w:t>
            </w:r>
          </w:p>
        </w:tc>
        <w:tc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58,861</w:t>
            </w:r>
          </w:p>
        </w:tc>
        <w:tc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305,171</w:t>
            </w:r>
          </w:p>
        </w:tc>
      </w:tr>
      <w:tr>
        <w:tc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第 20 年</w:t>
            </w:r>
          </w:p>
        </w:tc>
        <w:tc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59,693</w:t>
            </w:r>
          </w:p>
        </w:tc>
        <w:tc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55,322</w:t>
            </w:r>
          </w:p>
        </w:tc>
        <w:tc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874,344</w:t>
            </w:r>
          </w:p>
        </w:tc>
      </w:tr>
      <w:tr>
        <w:tc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第 25 年</w:t>
            </w:r>
          </w:p>
        </w:tc>
        <w:tc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58,362</w:t>
            </w:r>
          </w:p>
        </w:tc>
        <w:tc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53,536</w:t>
            </w:r>
          </w:p>
        </w:tc>
        <w:tc>
          <w:p>
            <w:r>
              <w:rPr>
                <w:rFonts w:ascii="微软雅黑" w:cs="微软雅黑" w:eastAsia="微软雅黑" w:hAnsi="微软雅黑"/>
                <w:b w:val="false"/>
                <w:bCs w:val="false"/>
                <w:sz w:val="19"/>
                <w:szCs w:val="19"/>
              </w:rPr>
              <w:t xml:space="preserve">1,145,605</w:t>
            </w:r>
          </w:p>
        </w:tc>
      </w:tr>
    </w:tbl>
    <w:p>
      <w:pPr>
        <w:spacing w:after="120"/>
      </w:pPr>
      <w:r>
        <w:rPr>
          <w:rFonts w:ascii="微软雅黑" w:cs="微软雅黑" w:eastAsia="微软雅黑" w:hAnsi="微软雅黑"/>
          <w:color w:val="64748B"/>
          <w:sz w:val="17"/>
          <w:szCs w:val="17"/>
        </w:rPr>
        <w:t xml:space="preserve">年度收入为售电与自用节省的电费合计；净现金流 = 年度收入 − 运维费用；累计现金流自第 0 年初始投资起算。</w:t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sz w:val="26"/>
          <w:szCs w:val="26"/>
        </w:rPr>
        <w:t xml:space="preserve">环境效益与减排贡献</w:t>
      </w:r>
    </w:p>
    <w:p>
      <w:pPr>
        <w:spacing w:after="120"/>
      </w:pPr>
      <w:r>
        <w:rPr>
          <w:rFonts w:ascii="微软雅黑" w:cs="微软雅黑" w:eastAsia="微软雅黑" w:hAnsi="微软雅黑"/>
          <w:sz w:val="19"/>
          <w:szCs w:val="19"/>
        </w:rPr>
        <w:t xml:space="preserve">年减排二氧化碳约 73.0 吨；按 2023 年江苏省级电力平均二氧化碳排放因子 0.5827 kg/kWh 计算（来源：生态环境部、国家统计局公告 2025 年第 47 号）</w:t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sz w:val="26"/>
          <w:szCs w:val="26"/>
        </w:rPr>
        <w:t xml:space="preserve">不确定性</w:t>
      </w:r>
    </w:p>
    <w:p>
      <w:pPr>
        <w:spacing w:after="120"/>
      </w:pPr>
      <w:r>
        <w:rPr>
          <w:rFonts w:ascii="微软雅黑" w:cs="微软雅黑" w:eastAsia="微软雅黑" w:hAnsi="微软雅黑"/>
          <w:sz w:val="19"/>
          <w:szCs w:val="19"/>
        </w:rPr>
        <w:t xml:space="preserve">首年发电量：约 11.8–13.2 万 kWh（中值 12.5 万）</w:t>
      </w:r>
    </w:p>
    <w:p>
      <w:pPr>
        <w:spacing w:after="120"/>
      </w:pPr>
      <w:r>
        <w:rPr>
          <w:rFonts w:ascii="微软雅黑" w:cs="微软雅黑" w:eastAsia="微软雅黑" w:hAnsi="微软雅黑"/>
          <w:sz w:val="19"/>
          <w:szCs w:val="19"/>
        </w:rPr>
        <w:t xml:space="preserve">年减排二氧化碳：约 68.7–77.2 吨（中值 73.0）</w:t>
      </w:r>
    </w:p>
    <w:p>
      <w:pPr>
        <w:spacing w:after="120"/>
      </w:pPr>
      <w:r>
        <w:rPr>
          <w:rFonts w:ascii="微软雅黑" w:cs="微软雅黑" w:eastAsia="微软雅黑" w:hAnsi="微软雅黑"/>
          <w:sz w:val="19"/>
          <w:szCs w:val="19"/>
        </w:rPr>
        <w:t xml:space="preserve">区间来自年际辐照波动（±5%）与损耗假设（±3%）合成，约 ±5.8%</w:t>
      </w:r>
    </w:p>
    <w:p>
      <w:pPr>
        <w:spacing w:after="120"/>
      </w:pPr>
      <w:r>
        <w:rPr>
          <w:rFonts w:ascii="微软雅黑" w:cs="微软雅黑" w:eastAsia="微软雅黑" w:hAnsi="微软雅黑"/>
          <w:sz w:val="19"/>
          <w:szCs w:val="19"/>
        </w:rPr>
        <w:t xml:space="preserve">电价、政策与设备价格变化未计入上述区间；单点中值不构成收益承诺。</w:t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sz w:val="26"/>
          <w:szCs w:val="26"/>
        </w:rPr>
        <w:t xml:space="preserve">数据来源与截至日期</w:t>
      </w:r>
    </w:p>
    <w:p>
      <w:pPr>
        <w:spacing w:after="120"/>
      </w:pPr>
      <w:r>
        <w:rPr>
          <w:rFonts w:ascii="微软雅黑" w:cs="微软雅黑" w:eastAsia="微软雅黑" w:hAnsi="微软雅黑"/>
          <w:sz w:val="19"/>
          <w:szCs w:val="19"/>
        </w:rPr>
        <w:t xml:space="preserve">电价：自用 0.6 元/度、上网 0.35 元/度（你填写的数值，省份：江苏）</w:t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sz w:val="26"/>
          <w:szCs w:val="26"/>
        </w:rPr>
        <w:t xml:space="preserve">测算结论</w:t>
      </w:r>
    </w:p>
    <w:p>
      <w:pPr>
        <w:spacing w:after="120"/>
      </w:pPr>
      <w:r>
        <w:rPr>
          <w:rFonts w:ascii="微软雅黑" w:cs="微软雅黑" w:eastAsia="微软雅黑" w:hAnsi="微软雅黑"/>
          <w:sz w:val="21"/>
          <w:szCs w:val="21"/>
        </w:rPr>
        <w:t xml:space="preserve">按当前假设 IRR 19.95%，高于常用的 8% 比较基准，静态回收期约 4.9 年。是否开展前期工作，须结合现场勘察、并网条件与最新电价政策确认。测算结果仅供参考，不构成投资建议。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微软雅黑" w:cs="微软雅黑" w:eastAsia="微软雅黑" w:hAnsi="微软雅黑"/>
        <w:color w:val="64748B"/>
        <w:sz w:val="16"/>
        <w:szCs w:val="16"/>
      </w:rPr>
      <w:t xml:space="preserve">新能源智库 | 规则引擎测算，未含 AI 生成文字 | 测算结果仅供参考，不构成投资建议。 | 第 </w:t>
    </w:r>
    <w:r>
      <w:rPr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微软雅黑" w:cs="微软雅黑" w:eastAsia="微软雅黑" w:hAnsi="微软雅黑"/>
        <w:color w:val="64748B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分布式光伏测算报告 CR-U906E7770-20261027</dc:title>
  <dc:subject>测算报告</dc:subject>
  <dc:creator>新能源智库</dc:creator>
  <cp:keywords>测算报告,规则引擎测算,编号 CR-U906E7770-20261027</cp:keywords>
  <dc:description>测算报告，编号 CR-U906E7770-20261027。规则引擎测算，未含 AI 生成文字。测算结果仅供参考，不构成投资建议。</dc:description>
  <cp:lastModifiedBy>新能源智库</cp:lastModifiedBy>
  <cp:revision>1</cp:revision>
  <dcterms:created xsi:type="dcterms:W3CDTF">2026-10-28T13:56:34.924Z</dcterms:created>
  <dcterms:modified xsi:type="dcterms:W3CDTF">2026-10-28T13:56:34.924Z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未含AI生成内容</vt:lpwstr>
  </property>
  <property fmtid="{D5CDD505-2E9C-101B-9397-08002B2CF9AE}" pid="3" name="ServiceProvider">
    <vt:lpwstr>新能源智库</vt:lpwstr>
  </property>
  <property fmtid="{D5CDD505-2E9C-101B-9397-08002B2CF9AE}" pid="4" name="ContentID">
    <vt:lpwstr>CR-U906E7770-20261027</vt:lpwstr>
  </property>
  <property fmtid="{D5CDD505-2E9C-101B-9397-08002B2CF9AE}" pid="5" name="Label">
    <vt:lpwstr>0</vt:lpwstr>
  </property>
  <property fmtid="{D5CDD505-2E9C-101B-9397-08002B2CF9AE}" pid="6" name="ContentProducer">
    <vt:lpwstr>新能源智库</vt:lpwstr>
  </property>
  <property fmtid="{D5CDD505-2E9C-101B-9397-08002B2CF9AE}" pid="7" name="ProduceID">
    <vt:lpwstr>CR-U906E7770-20261027</vt:lpwstr>
  </property>
  <property fmtid="{D5CDD505-2E9C-101B-9397-08002B2CF9AE}" pid="8" name="ContentPropagator">
    <vt:lpwstr>新能源智库</vt:lpwstr>
  </property>
  <property fmtid="{D5CDD505-2E9C-101B-9397-08002B2CF9AE}" pid="9" name="PropagateID">
    <vt:lpwstr>CR-U906E7770-20261027</vt:lpwstr>
  </property>
  <property fmtid="{D5CDD505-2E9C-101B-9397-08002B2CF9AE}" pid="10" name="ReservedCode">
    <vt:lpwstr>1</vt:lpwstr>
  </property>
</Properties>
</file>