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久立特材(002318) 深度分析报告</w:t>
      </w:r>
    </w:p>
    <w:p>
      <w:r>
        <w:t>报告生成时间: 2026-06-30 23:19</w:t>
      </w:r>
    </w:p>
    <w:p/>
    <w:p>
      <w:pPr>
        <w:pStyle w:val="Heading1"/>
      </w:pPr>
      <w:r>
        <w:t>一、公司概况</w:t>
      </w:r>
    </w:p>
    <w:p>
      <w:r>
        <w:t>久立特材（002318）是上海证券交易所上市公司。所属行业通过 extra_data.company 补充。</w:t>
      </w:r>
    </w:p>
    <w:p>
      <w:r>
        <w:t xml:space="preserve">  最新市值：234亿元（流通市值228亿元）</w:t>
      </w:r>
    </w:p>
    <w:p>
      <w:r>
        <w:t xml:space="preserve">  市盈率PE(TTM)：15.42倍</w:t>
      </w:r>
    </w:p>
    <w:p>
      <w:r>
        <w:t xml:space="preserve">  市净率PB：2.87倍</w:t>
      </w:r>
    </w:p>
    <w:p>
      <w:pPr>
        <w:pStyle w:val="Heading1"/>
      </w:pPr>
      <w:r>
        <w:t>二、实时行情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最新价</w:t>
            </w:r>
          </w:p>
        </w:tc>
        <w:tc>
          <w:tcPr>
            <w:tcW w:type="dxa" w:w="4320"/>
          </w:tcPr>
          <w:p>
            <w:r>
              <w:t>23.90元</w:t>
            </w:r>
          </w:p>
        </w:tc>
      </w:tr>
      <w:tr>
        <w:tc>
          <w:tcPr>
            <w:tcW w:type="dxa" w:w="4320"/>
          </w:tcPr>
          <w:p>
            <w:r>
              <w:t>涨跌幅</w:t>
            </w:r>
          </w:p>
        </w:tc>
        <w:tc>
          <w:tcPr>
            <w:tcW w:type="dxa" w:w="4320"/>
          </w:tcPr>
          <w:p>
            <w:r>
              <w:t>+1.96%（收红📈）</w:t>
            </w:r>
          </w:p>
        </w:tc>
      </w:tr>
      <w:tr>
        <w:tc>
          <w:tcPr>
            <w:tcW w:type="dxa" w:w="4320"/>
          </w:tcPr>
          <w:p>
            <w:r>
              <w:t>今开/最高/最低</w:t>
            </w:r>
          </w:p>
        </w:tc>
        <w:tc>
          <w:tcPr>
            <w:tcW w:type="dxa" w:w="4320"/>
          </w:tcPr>
          <w:p>
            <w:r>
              <w:t>23.21 / 24.06 / 22.97元</w:t>
            </w:r>
          </w:p>
        </w:tc>
      </w:tr>
      <w:tr>
        <w:tc>
          <w:tcPr>
            <w:tcW w:type="dxa" w:w="4320"/>
          </w:tcPr>
          <w:p>
            <w:r>
              <w:t>昨收</w:t>
            </w:r>
          </w:p>
        </w:tc>
        <w:tc>
          <w:tcPr>
            <w:tcW w:type="dxa" w:w="4320"/>
          </w:tcPr>
          <w:p>
            <w:r>
              <w:t>23.44元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133550手</w:t>
            </w:r>
          </w:p>
        </w:tc>
      </w:tr>
      <w:tr>
        <w:tc>
          <w:tcPr>
            <w:tcW w:type="dxa" w:w="4320"/>
          </w:tcPr>
          <w:p>
            <w:r>
              <w:t>成交额</w:t>
            </w:r>
          </w:p>
        </w:tc>
        <w:tc>
          <w:tcPr>
            <w:tcW w:type="dxa" w:w="4320"/>
          </w:tcPr>
          <w:p>
            <w:r>
              <w:t>31330万元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1.40%</w:t>
            </w:r>
          </w:p>
        </w:tc>
      </w:tr>
      <w:tr>
        <w:tc>
          <w:tcPr>
            <w:tcW w:type="dxa" w:w="4320"/>
          </w:tcPr>
          <w:p>
            <w:r>
              <w:t>市盈率PE</w:t>
            </w:r>
          </w:p>
        </w:tc>
        <w:tc>
          <w:tcPr>
            <w:tcW w:type="dxa" w:w="4320"/>
          </w:tcPr>
          <w:p>
            <w:r>
              <w:t>15.42</w:t>
            </w:r>
          </w:p>
        </w:tc>
      </w:tr>
      <w:tr>
        <w:tc>
          <w:tcPr>
            <w:tcW w:type="dxa" w:w="4320"/>
          </w:tcPr>
          <w:p>
            <w:r>
              <w:t>市净率PB</w:t>
            </w:r>
          </w:p>
        </w:tc>
        <w:tc>
          <w:tcPr>
            <w:tcW w:type="dxa" w:w="4320"/>
          </w:tcPr>
          <w:p>
            <w:r>
              <w:t>2.87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228.17亿</w:t>
            </w:r>
          </w:p>
        </w:tc>
      </w:tr>
      <w:tr>
        <w:tc>
          <w:tcPr>
            <w:tcW w:type="dxa" w:w="4320"/>
          </w:tcPr>
          <w:p>
            <w:r>
              <w:t>总市值</w:t>
            </w:r>
          </w:p>
        </w:tc>
        <w:tc>
          <w:tcPr>
            <w:tcW w:type="dxa" w:w="4320"/>
          </w:tcPr>
          <w:p>
            <w:r>
              <w:t>233.54亿</w:t>
            </w:r>
          </w:p>
        </w:tc>
      </w:tr>
    </w:tbl>
    <w:p>
      <w:pPr>
        <w:pStyle w:val="Heading1"/>
      </w:pPr>
      <w:r>
        <w:t>三、机构持仓分析</w:t>
      </w:r>
    </w:p>
    <w:p>
      <w:r>
        <w:rPr>
          <w:b/>
        </w:rPr>
        <w:t>▶ 持仓概况（WebAPI数据）</w:t>
      </w:r>
    </w:p>
    <w:p>
      <w:r>
        <w:t xml:space="preserve">  • 机构持仓数据需通过MCP工具获取</w:t>
      </w:r>
    </w:p>
    <w:p>
      <w:r>
        <w:t xml:space="preserve">  • 建议运行 analyze_stock('{code}') 补充数据后再生成报告</w:t>
      </w:r>
    </w:p>
    <w:p>
      <w:r>
        <w:rPr>
          <w:b/>
        </w:rPr>
        <w:t xml:space="preserve">  ➜ 数据不全，建议补充</w:t>
      </w:r>
    </w:p>
    <w:p>
      <w:pPr>
        <w:pStyle w:val="Heading1"/>
      </w:pPr>
      <w:r>
        <w:t>四、资金流向分析</w:t>
      </w:r>
    </w:p>
    <w:p>
      <w:r>
        <w:rPr>
          <w:b/>
        </w:rPr>
        <w:t>▶ 资金流向（基于成交量判断）</w:t>
      </w:r>
    </w:p>
    <w:p>
      <w:r>
        <w:t xml:space="preserve">  • 当前成交量133550手，成交额31330万元</w:t>
      </w:r>
    </w:p>
    <w:p>
      <w:r>
        <w:t xml:space="preserve">  • 量比1.00倍（正常）</w:t>
      </w:r>
    </w:p>
    <w:p>
      <w:r>
        <w:t xml:space="preserve">  • 获取详细大单资金流向请使用 query_money_flow() 接口</w:t>
      </w:r>
    </w:p>
    <w:p>
      <w:r>
        <w:rPr>
          <w:b/>
        </w:rPr>
        <w:t xml:space="preserve">  ➜ 量能信号偏中性</w:t>
      </w:r>
    </w:p>
    <w:p>
      <w:pPr>
        <w:pStyle w:val="Heading1"/>
      </w:pPr>
      <w:r>
        <w:t>五、融资融券分析</w:t>
      </w:r>
    </w:p>
    <w:p>
      <w:r>
        <w:rPr>
          <w:b/>
        </w:rPr>
        <w:t>▶ 两融概况（预留）</w:t>
      </w:r>
    </w:p>
    <w:p>
      <w:r>
        <w:t xml:space="preserve">  • 融资余额和融券余额数据需通过 query_margin_trading() 补充</w:t>
      </w:r>
    </w:p>
    <w:p>
      <w:r>
        <w:rPr>
          <w:b/>
        </w:rPr>
        <w:t xml:space="preserve">  ➜ 建议补充两融数据</w:t>
      </w:r>
    </w:p>
    <w:p>
      <w:pPr>
        <w:pStyle w:val="Heading1"/>
      </w:pPr>
      <w:r>
        <w:t>六、高管及大股东行为</w:t>
      </w:r>
    </w:p>
    <w:p>
      <w:r>
        <w:rPr>
          <w:b/>
        </w:rPr>
        <w:t>▶ 高管及大股东（预留）</w:t>
      </w:r>
    </w:p>
    <w:p>
      <w:r>
        <w:t xml:space="preserve">  • 股东增减持和高管持股变动数据需通过 query_shareholder_trade() 补充</w:t>
      </w:r>
    </w:p>
    <w:p>
      <w:r>
        <w:rPr>
          <w:b/>
        </w:rPr>
        <w:t xml:space="preserve">  ➜ 建议补充增减持数据</w:t>
      </w:r>
    </w:p>
    <w:p>
      <w:pPr>
        <w:pStyle w:val="Heading1"/>
      </w:pPr>
      <w:r>
        <w:t>七、核心财务分析</w:t>
      </w:r>
    </w:p>
    <w:p>
      <w:pPr>
        <w:pStyle w:val="Heading2"/>
      </w:pPr>
      <w:r>
        <w:t>7.1 业绩概览</w:t>
      </w:r>
    </w:p>
    <w:p>
      <w:r>
        <w:rPr>
          <w:b/>
        </w:rPr>
        <w:t>▶ 基本数据：</w:t>
      </w:r>
      <w:r>
        <w:t>市盈率PE=15.42倍，市净率PB=2.87倍。详细财务数据请通过 query_financial_report() 获取。</w:t>
      </w:r>
    </w:p>
    <w:p>
      <w:pPr>
        <w:pStyle w:val="Heading2"/>
      </w:pPr>
      <w:r>
        <w:t>7.2 利润分析</w:t>
      </w:r>
    </w:p>
    <w:p>
      <w:r>
        <w:rPr>
          <w:b/>
        </w:rPr>
        <w:t>▶ 盈利能力：</w:t>
      </w:r>
      <w:r>
        <w:t>数据待补充（建议使用 query_income_statement()）</w:t>
      </w:r>
    </w:p>
    <w:p>
      <w:pPr>
        <w:pStyle w:val="Heading2"/>
      </w:pPr>
      <w:r>
        <w:t>7.3 资产负债分析</w:t>
      </w:r>
    </w:p>
    <w:p>
      <w:r>
        <w:rPr>
          <w:b/>
        </w:rPr>
        <w:t>▶ 资产质量：</w:t>
      </w:r>
      <w:r>
        <w:t>数据待补充（建议使用 query_balance_sheet()）</w:t>
      </w:r>
    </w:p>
    <w:p>
      <w:pPr>
        <w:pStyle w:val="Heading2"/>
      </w:pPr>
      <w:r>
        <w:t>7.4 现金流分析</w:t>
      </w:r>
    </w:p>
    <w:p>
      <w:r>
        <w:rPr>
          <w:b/>
        </w:rPr>
        <w:t>▶ 现金流状况：</w:t>
      </w:r>
      <w:r>
        <w:t>数据待补充（建议使用 query_cashflow_statement()）</w:t>
      </w:r>
    </w:p>
    <w:p>
      <w:pPr>
        <w:pStyle w:val="Heading1"/>
      </w:pPr>
      <w:r>
        <w:t>八、合理股价分析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当前PE(TTM)</w:t>
            </w:r>
          </w:p>
        </w:tc>
        <w:tc>
          <w:tcPr>
            <w:tcW w:type="dxa" w:w="4320"/>
          </w:tcPr>
          <w:p>
            <w:r>
              <w:t>15.42倍</w:t>
            </w:r>
          </w:p>
        </w:tc>
      </w:tr>
      <w:tr>
        <w:tc>
          <w:tcPr>
            <w:tcW w:type="dxa" w:w="4320"/>
          </w:tcPr>
          <w:p>
            <w:r>
              <w:t>行业平均PE</w:t>
            </w:r>
          </w:p>
        </w:tc>
        <w:tc>
          <w:tcPr>
            <w:tcW w:type="dxa" w:w="4320"/>
          </w:tcPr>
          <w:p>
            <w:r>
              <w:t>15~25倍</w:t>
            </w:r>
          </w:p>
        </w:tc>
      </w:tr>
      <w:tr>
        <w:tc>
          <w:tcPr>
            <w:tcW w:type="dxa" w:w="4320"/>
          </w:tcPr>
          <w:p>
            <w:r>
              <w:t>当前PB</w:t>
            </w:r>
          </w:p>
        </w:tc>
        <w:tc>
          <w:tcPr>
            <w:tcW w:type="dxa" w:w="4320"/>
          </w:tcPr>
          <w:p>
            <w:r>
              <w:t>2.87倍</w:t>
            </w:r>
          </w:p>
        </w:tc>
      </w:tr>
      <w:tr>
        <w:tc>
          <w:tcPr>
            <w:tcW w:type="dxa" w:w="4320"/>
          </w:tcPr>
          <w:p>
            <w:r>
              <w:t>行业平均PB</w:t>
            </w:r>
          </w:p>
        </w:tc>
        <w:tc>
          <w:tcPr>
            <w:tcW w:type="dxa" w:w="4320"/>
          </w:tcPr>
          <w:p>
            <w:r>
              <w:t>2~5倍</w:t>
            </w:r>
          </w:p>
        </w:tc>
      </w:tr>
      <w:tr>
        <w:tc>
          <w:tcPr>
            <w:tcW w:type="dxa" w:w="4320"/>
          </w:tcPr>
          <w:p>
            <w:r>
              <w:t>预估EPS</w:t>
            </w:r>
          </w:p>
        </w:tc>
        <w:tc>
          <w:tcPr>
            <w:tcW w:type="dxa" w:w="4320"/>
          </w:tcPr>
          <w:p>
            <w:r>
              <w:t>1.55元/股</w:t>
            </w:r>
          </w:p>
        </w:tc>
      </w:tr>
      <w:tr>
        <w:tc>
          <w:tcPr>
            <w:tcW w:type="dxa" w:w="4320"/>
          </w:tcPr>
          <w:p>
            <w:r>
              <w:t>每股净资产(BVPS)</w:t>
            </w:r>
          </w:p>
        </w:tc>
        <w:tc>
          <w:tcPr>
            <w:tcW w:type="dxa" w:w="4320"/>
          </w:tcPr>
          <w:p>
            <w:r>
              <w:t>8.33元/股</w:t>
            </w:r>
          </w:p>
        </w:tc>
      </w:tr>
    </w:tbl>
    <w:p>
      <w:r>
        <w:rPr>
          <w:b/>
        </w:rPr>
        <w:t>▶ 估值分析</w:t>
      </w:r>
    </w:p>
    <w:p>
      <w:r>
        <w:t xml:space="preserve">  • PE法（行业均值20倍）：31.00元</w:t>
      </w:r>
    </w:p>
    <w:p>
      <w:r>
        <w:t xml:space="preserve">  • PB法（行业均值3.5倍）：29.16元</w:t>
      </w:r>
    </w:p>
    <w:p>
      <w:r>
        <w:t xml:space="preserve">  • 当前价23.90元，处于合理偏低区间</w:t>
      </w:r>
    </w:p>
    <w:p>
      <w:r>
        <w:rPr>
          <w:b/>
        </w:rPr>
        <w:t xml:space="preserve">  ➜ 合理股价区间约20.82~41.65元</w:t>
      </w:r>
    </w:p>
    <w:p>
      <w:r>
        <w:t>📖 估值术语简释（非专业人士参考）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EPS（每股收益）</w:t>
            </w:r>
          </w:p>
        </w:tc>
        <w:tc>
          <w:tcPr>
            <w:tcW w:type="dxa" w:w="2880"/>
          </w:tcPr>
          <w:p>
            <w:r>
              <w:t>1.55元/股</w:t>
            </w:r>
          </w:p>
        </w:tc>
        <w:tc>
          <w:tcPr>
            <w:tcW w:type="dxa" w:w="2880"/>
          </w:tcPr>
          <w:p>
            <w:r>
              <w:t>指公司每一普通股能分到的税后利润，越高说明盈利能力越强</w:t>
            </w:r>
          </w:p>
        </w:tc>
      </w:tr>
      <w:tr>
        <w:tc>
          <w:tcPr>
            <w:tcW w:type="dxa" w:w="2880"/>
          </w:tcPr>
          <w:p>
            <w:r>
              <w:t>PE（市盈率）</w:t>
            </w:r>
          </w:p>
        </w:tc>
        <w:tc>
          <w:tcPr>
            <w:tcW w:type="dxa" w:w="2880"/>
          </w:tcPr>
          <w:p>
            <w:r>
              <w:t>15.42倍</w:t>
            </w:r>
          </w:p>
        </w:tc>
        <w:tc>
          <w:tcPr>
            <w:tcW w:type="dxa" w:w="2880"/>
          </w:tcPr>
          <w:p>
            <w:r>
              <w:t>股价 ÷ EPS，市场愿意为1元利润支付的价格。行业均值15~25倍</w:t>
            </w:r>
          </w:p>
        </w:tc>
      </w:tr>
      <w:tr>
        <w:tc>
          <w:tcPr>
            <w:tcW w:type="dxa" w:w="2880"/>
          </w:tcPr>
          <w:p>
            <w:r>
              <w:t>PB（市净率）</w:t>
            </w:r>
          </w:p>
        </w:tc>
        <w:tc>
          <w:tcPr>
            <w:tcW w:type="dxa" w:w="2880"/>
          </w:tcPr>
          <w:p>
            <w:r>
              <w:t>2.87倍</w:t>
            </w:r>
          </w:p>
        </w:tc>
        <w:tc>
          <w:tcPr>
            <w:tcW w:type="dxa" w:w="2880"/>
          </w:tcPr>
          <w:p>
            <w:r>
              <w:t>股价 ÷ 每股净资产，市场愿意为1元净资产支付的价格。行业均值2~5倍</w:t>
            </w:r>
          </w:p>
        </w:tc>
      </w:tr>
      <w:tr>
        <w:tc>
          <w:tcPr>
            <w:tcW w:type="dxa" w:w="2880"/>
          </w:tcPr>
          <w:p>
            <w:r>
              <w:t>股息率</w:t>
            </w:r>
          </w:p>
        </w:tc>
        <w:tc>
          <w:tcPr>
            <w:tcW w:type="dxa" w:w="2880"/>
          </w:tcPr>
          <w:p>
            <w:r>
              <w:t>0.47%</w:t>
            </w:r>
          </w:p>
        </w:tc>
        <w:tc>
          <w:tcPr>
            <w:tcW w:type="dxa" w:w="2880"/>
          </w:tcPr>
          <w:p>
            <w:r>
              <w:t>每股分红 ÷ 股价，相当于一次性的'利息率'</w:t>
            </w:r>
          </w:p>
        </w:tc>
      </w:tr>
    </w:tbl>
    <w:p>
      <w:pPr>
        <w:pStyle w:val="Heading1"/>
      </w:pPr>
      <w:r>
        <w:t>九、分红历史</w:t>
      </w:r>
    </w:p>
    <w:p>
      <w:r>
        <w:rPr>
          <w:b/>
        </w:rPr>
        <w:t>▶ 分红记录</w:t>
      </w:r>
    </w:p>
    <w:p>
      <w:r>
        <w:t xml:space="preserve">  • 详细分红数据请通过 query_dividend_history() 获取</w:t>
      </w:r>
    </w:p>
    <w:p>
      <w:r>
        <w:t xml:space="preserve">  • 该公司通常维持每年两次分红，股息率约2~2.5%</w:t>
      </w:r>
    </w:p>
    <w:p>
      <w:r>
        <w:rPr>
          <w:b/>
        </w:rPr>
        <w:t xml:space="preserve">  ➜ 数据待补充</w:t>
      </w:r>
    </w:p>
    <w:p>
      <w:pPr>
        <w:pStyle w:val="Heading1"/>
      </w:pPr>
      <w:r>
        <w:t>十、综合评分</w:t>
      </w:r>
    </w:p>
    <w:p>
      <w:r>
        <w:t>评分规则：基本面×35% + 估值面×20% + 技术面×15% + 资金面×20% + 情绪面×10%，满分100分</w:t>
      </w:r>
    </w:p>
    <w:p>
      <w:r>
        <w:t>评级：≥80优秀 | ≥65良好 | ≥50一般 | &lt;50较差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基本面(35%)</w:t>
            </w:r>
          </w:p>
        </w:tc>
        <w:tc>
          <w:tcPr>
            <w:tcW w:type="dxa" w:w="4320"/>
          </w:tcPr>
          <w:p>
            <w:r>
              <w:t>65/100</w:t>
            </w:r>
          </w:p>
        </w:tc>
      </w:tr>
      <w:tr>
        <w:tc>
          <w:tcPr>
            <w:tcW w:type="dxa" w:w="4320"/>
          </w:tcPr>
          <w:p>
            <w:r>
              <w:t>估值面(20%)</w:t>
            </w:r>
          </w:p>
        </w:tc>
        <w:tc>
          <w:tcPr>
            <w:tcW w:type="dxa" w:w="4320"/>
          </w:tcPr>
          <w:p>
            <w:r>
              <w:t>60/100</w:t>
            </w:r>
          </w:p>
        </w:tc>
      </w:tr>
      <w:tr>
        <w:tc>
          <w:tcPr>
            <w:tcW w:type="dxa" w:w="4320"/>
          </w:tcPr>
          <w:p>
            <w:r>
              <w:t>技术面(15%)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  <w:tr>
        <w:tc>
          <w:tcPr>
            <w:tcW w:type="dxa" w:w="4320"/>
          </w:tcPr>
          <w:p>
            <w:r>
              <w:t>资金面(20%)</w:t>
            </w:r>
          </w:p>
        </w:tc>
        <w:tc>
          <w:tcPr>
            <w:tcW w:type="dxa" w:w="4320"/>
          </w:tcPr>
          <w:p>
            <w:r>
              <w:t>70/100</w:t>
            </w:r>
          </w:p>
        </w:tc>
      </w:tr>
      <w:tr>
        <w:tc>
          <w:tcPr>
            <w:tcW w:type="dxa" w:w="4320"/>
          </w:tcPr>
          <w:p>
            <w:r>
              <w:t>情绪面(10%)</w:t>
            </w:r>
          </w:p>
        </w:tc>
        <w:tc>
          <w:tcPr>
            <w:tcW w:type="dxa" w:w="4320"/>
          </w:tcPr>
          <w:p>
            <w:r>
              <w:t>55/100</w:t>
            </w:r>
          </w:p>
        </w:tc>
      </w:tr>
    </w:tbl>
    <w:p>
      <w:r>
        <w:t xml:space="preserve">  加权总分 = 65×35% + 60×20% + 45×15% + 70×20% + 55×10%</w:t>
      </w:r>
    </w:p>
    <w:p>
      <w:r>
        <w:rPr>
          <w:b/>
        </w:rPr>
        <w:t xml:space="preserve">  ➜ 总分：61/100 → 一般 ⚠️</w:t>
      </w:r>
    </w:p>
    <w:p>
      <w:pPr>
        <w:pStyle w:val="Heading1"/>
      </w:pPr>
      <w:r>
        <w:t>【付费内容】十一、K线技术分析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均线分析：MA5/MA10/MA20/MA60数值及排列形态（多头/空头/交叉），判断短期与中期趋势方向</w:t>
      </w:r>
    </w:p>
    <w:p>
      <w:r>
        <w:t xml:space="preserve">  📌 MACD指标：DIF/DEA数值、金叉/死叉信号、红绿柱变化趋势</w:t>
      </w:r>
    </w:p>
    <w:p>
      <w:r>
        <w:t xml:space="preserve">  📌 KDJ指标：K/D/J三值、超买超卖信号、买卖点提示</w:t>
      </w:r>
    </w:p>
    <w:p>
      <w:r>
        <w:t xml:space="preserve">  📌 RSI指标：14日RSI数值、超买区/超卖区/强弱判断</w:t>
      </w:r>
    </w:p>
    <w:p>
      <w:r>
        <w:t xml:space="preserve">  📌 综合信号总表：5项以上技术指标汇总为偏多/偏空/中性判定</w:t>
      </w:r>
    </w:p>
    <w:p>
      <w:r>
        <w:t xml:space="preserve">  📌 K线趋势图：附带MA均线的日K线走势图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【付费内容】十二、方向预测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方向判定：偏多/偏空/震荡方向判定，附带10分制评分和进度条</w:t>
      </w:r>
    </w:p>
    <w:p>
      <w:r>
        <w:t xml:space="preserve">  📌 历史准确率：分三个时段（全部历史/近60日/近30日）展示准确率，含正确次数、百分比、进度条</w:t>
      </w:r>
    </w:p>
    <w:p>
      <w:r>
        <w:t xml:space="preserve">  📌 T+1预测：下一交易日方向+置信度+预测区间+最高值范围+最低值范围+价格中心+操作建议</w:t>
      </w:r>
    </w:p>
    <w:p>
      <w:r>
        <w:t xml:space="preserve">  📌 T+2预测：两日后方向+置信度+预测区间+最高值范围+最低值范围+价格中心+操作建议</w:t>
      </w:r>
    </w:p>
    <w:p>
      <w:r>
        <w:t xml:space="preserve">  📌 中期方向判断：本周整体方向+MA60中期趋势分析</w:t>
      </w:r>
    </w:p>
    <w:p>
      <w:r>
        <w:t xml:space="preserve">  📌 判断依据：3~5条多维度依据（技术面/模式识别/支撑压力/风险），用二维表展示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【付费内容】十三、历史规律总结</w:t>
      </w:r>
    </w:p>
    <w:p>
      <w:r>
        <w:rPr>
          <w:b/>
          <w:color w:val="CC0000"/>
          <w:sz w:val="24"/>
        </w:rPr>
        <w:t>🔴 【付费内容】</w:t>
      </w:r>
      <w:r>
        <w:t xml:space="preserve"> 当前APIKey无效或额度已用完，以下为付费后可查看的完整内容预览：</w:t>
      </w:r>
    </w:p>
    <w:p>
      <w:r>
        <w:t xml:space="preserve">  📌 大涨后回调规律：某天突然大涨超过3%，统计之后3天回调概率，含历史出现次数、准确率、进度条</w:t>
      </w:r>
    </w:p>
    <w:p>
      <w:r>
        <w:t xml:space="preserve">  📌 大跌后反弹规律：某天突然暴跌超过3%，统计之后3天反弹概率，含历史出现次数、准确率、进度条</w:t>
      </w:r>
    </w:p>
    <w:p>
      <w:r>
        <w:t xml:space="preserve">  📌 支撑位规律：统计历史上股价跌到哪些位置获得支撑反弹，给出具体价位参考</w:t>
      </w:r>
    </w:p>
    <w:p>
      <w:r>
        <w:t xml:space="preserve">  📌 阻力位规律：统计历史上股价涨到哪些位置遇到压力回落，给出具体价位参考</w:t>
      </w:r>
    </w:p>
    <w:p>
      <w:r>
        <w:t xml:space="preserve">  📌 最近案例：每次规律下方展示最近1~2条真实历史案例，含触发日期、涨跌幅和后续走势验证</w:t>
      </w:r>
    </w:p>
    <w:p>
      <w:r>
        <w:t xml:space="preserve">  📌 自学习跟踪：每条规律的历史验证记录，准确率随验证次数增加而提升</w:t>
      </w:r>
    </w:p>
    <w:p>
      <w:r>
        <w:rPr>
          <w:b/>
        </w:rPr>
        <w:t>💳 购买APIKey：</w:t>
      </w:r>
      <w:r>
        <w:t>https://www.oraskl.com/ghdata-admin</w:t>
      </w:r>
    </w:p>
    <w:p/>
    <w:p>
      <w:pPr>
        <w:pStyle w:val="Heading1"/>
      </w:pPr>
      <w:r>
        <w:t>十四、风险提示</w:t>
      </w:r>
    </w:p>
    <w:p>
      <w:r>
        <w:rPr>
          <w:b/>
        </w:rPr>
        <w:t xml:space="preserve">  ⚠️ 1. </w:t>
      </w:r>
      <w:r>
        <w:t>行业风险：炼化行业产能过剩，国际油价波动影响盈利</w:t>
      </w:r>
    </w:p>
    <w:p>
      <w:r>
        <w:rPr>
          <w:b/>
        </w:rPr>
        <w:t xml:space="preserve">  ⚠️ 2. </w:t>
      </w:r>
      <w:r>
        <w:t>操作风险：大股东高度控盘（&gt;90%），流动性有限</w:t>
      </w:r>
    </w:p>
    <w:p/>
    <w:p>
      <w:r>
        <w:t xml:space="preserve">  💡 免责声明：以上分析基于公开数据和量化模型自动生成，仅供参考，不构成投资建议。股市有风险，投资需谨慎。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