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国瓷材料(300285) 深度分析报告</w:t>
      </w:r>
    </w:p>
    <w:p>
      <w:r>
        <w:t>报告生成时间: 2026-06-30 23:20</w:t>
      </w:r>
    </w:p>
    <w:p/>
    <w:p>
      <w:pPr>
        <w:pStyle w:val="Heading1"/>
      </w:pPr>
      <w:r>
        <w:t>一、公司概况</w:t>
      </w:r>
    </w:p>
    <w:p>
      <w:r>
        <w:t>国瓷材料（300285）是上海证券交易所上市公司。所属行业通过 extra_data.company 补充。</w:t>
      </w:r>
    </w:p>
    <w:p>
      <w:r>
        <w:t xml:space="preserve">  最新市值：1029亿元（流通市值881亿元）</w:t>
      </w:r>
    </w:p>
    <w:p>
      <w:r>
        <w:t xml:space="preserve">  市盈率PE(TTM)：166.78倍</w:t>
      </w:r>
    </w:p>
    <w:p>
      <w:r>
        <w:t xml:space="preserve">  市净率PB：14.47倍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103.18元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-2.25%（收跌📉）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103.54 / 105.50 / 97.20元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105.55元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1126628手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1139744万元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13.20%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166.78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14.47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880.82亿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1028.75亿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当前成交量1126628手，成交额1139744万元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市盈率PE=166.78倍，市净率PB=14.47倍。详细财务数据请通过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166.78倍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14.47倍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0.62元/股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7.13元/股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PE法（行业均值20倍）：12.40元</w:t>
      </w:r>
    </w:p>
    <w:p>
      <w:r>
        <w:t xml:space="preserve">  • PB法（行业均值3.5倍）：24.95元</w:t>
      </w:r>
    </w:p>
    <w:p>
      <w:r>
        <w:t xml:space="preserve">  • 当前价103.18元，处于合理偏高区间</w:t>
      </w:r>
    </w:p>
    <w:p>
      <w:r>
        <w:rPr>
          <w:b/>
        </w:rPr>
        <w:t xml:space="preserve">  ➜ 合理股价区间约9.30~35.65元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0.62元/股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166.78倍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14.47倍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0.11%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28/100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+ 28×15% + 70×20% + 55×10%</w:t>
      </w:r>
    </w:p>
    <w:p>
      <w:r>
        <w:rPr>
          <w:b/>
        </w:rPr>
        <w:t xml:space="preserve">  ➜ 总分：58/100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估值风险：PE偏高（167倍），高于行业均值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