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708"/>
        <w:jc w:val="both"/>
        <w:rPr/>
      </w:pPr>
      <w:r/>
      <w:r/>
    </w:p>
    <w:p>
      <w:pPr>
        <w:pBdr/>
        <w:spacing/>
        <w:ind w:firstLine="708"/>
        <w:jc w:val="both"/>
        <w:rPr>
          <w:i/>
          <w:iCs/>
        </w:rPr>
      </w:pPr>
      <w:r>
        <w:t xml:space="preserve">1. </w:t>
      </w:r>
      <w:r>
        <w:rPr>
          <w:i/>
          <w:iCs/>
        </w:rPr>
        <w:t xml:space="preserve">«Название статьи вызывает много вопросов.  Не понятно, что такое перечисление в модели Изинга? Почему алгоритм </w:t>
      </w:r>
      <w:r>
        <w:rPr>
          <w:i/>
          <w:iCs/>
        </w:rPr>
        <w:t xml:space="preserve">неклассический</w:t>
      </w:r>
      <w:r>
        <w:rPr>
          <w:i/>
          <w:iCs/>
        </w:rPr>
        <w:t xml:space="preserve">?  Слово Glaurung на латинице в названии статьи на русском языке также выглядит неуместно, тем более его истоки либо значение в тексте статьи не раскрыты.» </w:t>
      </w:r>
      <w:r>
        <w:rPr>
          <w:i/>
          <w:iCs/>
        </w:rPr>
      </w:r>
      <w:r>
        <w:rPr>
          <w:i/>
          <w:iCs/>
        </w:rPr>
      </w:r>
    </w:p>
    <w:p>
      <w:pPr>
        <w:pBdr/>
        <w:spacing/>
        <w:ind w:firstLine="708"/>
        <w:jc w:val="both"/>
        <w:rPr/>
      </w:pPr>
      <w:r>
        <w:t xml:space="preserve">Понятие</w:t>
      </w:r>
      <w:r>
        <w:t xml:space="preserve"> перечислени</w:t>
      </w:r>
      <w:r>
        <w:t xml:space="preserve">я</w:t>
      </w:r>
      <w:r>
        <w:t xml:space="preserve"> </w:t>
      </w:r>
      <w:r>
        <w:t xml:space="preserve">в переборном алгоритме для решения модели Изинга добавлено в текст статьи.</w:t>
      </w:r>
      <w:r>
        <w:t xml:space="preserve"> Добавлено описание п</w:t>
      </w:r>
      <w:r>
        <w:t xml:space="preserve">очему алгоритм </w:t>
      </w:r>
      <w:r>
        <w:t xml:space="preserve">является </w:t>
      </w:r>
      <w:r>
        <w:t xml:space="preserve">неклассически</w:t>
      </w:r>
      <w:r>
        <w:t xml:space="preserve">м. Предложенное автором название алгоритма «</w:t>
      </w:r>
      <w:r>
        <w:t xml:space="preserve">Glaurung</w:t>
      </w:r>
      <w:r>
        <w:t xml:space="preserve">» заменено на алгоритм декомпозиции.</w:t>
      </w:r>
      <w:r/>
    </w:p>
    <w:p>
      <w:pPr>
        <w:pBdr/>
        <w:spacing/>
        <w:ind w:firstLine="708"/>
        <w:jc w:val="both"/>
        <w:rPr/>
      </w:pPr>
      <w:r>
        <w:t xml:space="preserve">2.1 </w:t>
      </w:r>
      <w:r>
        <w:t xml:space="preserve">«</w:t>
      </w:r>
      <w:r>
        <w:rPr>
          <w:i/>
          <w:iCs/>
        </w:rPr>
        <w:t xml:space="preserve">Введение к статье написано плохо и практически не вводит в проблематику решаемой задачи. Не </w:t>
      </w:r>
      <w:r>
        <w:rPr>
          <w:i/>
          <w:iCs/>
        </w:rPr>
        <w:t xml:space="preserve">понятно,</w:t>
      </w:r>
      <w:r>
        <w:rPr>
          <w:i/>
          <w:iCs/>
        </w:rPr>
        <w:t xml:space="preserve"> чем предлагаемый авторами подход лучше или хуже методов, рассматриваемых другими авторами. Например, в сравнении с методами машинного обучения, либо статистическими методами, которые авторы упоминают во введении</w:t>
      </w:r>
      <w:r>
        <w:rPr>
          <w:i/>
          <w:iCs/>
        </w:rPr>
        <w:t xml:space="preserve">.</w:t>
      </w:r>
      <w:r>
        <w:t xml:space="preserve">»</w:t>
      </w:r>
      <w:r/>
    </w:p>
    <w:p>
      <w:pPr>
        <w:pBdr/>
        <w:spacing/>
        <w:ind w:firstLine="708"/>
        <w:jc w:val="both"/>
        <w:rPr/>
      </w:pPr>
      <w:r>
        <w:t xml:space="preserve">П</w:t>
      </w:r>
      <w:r>
        <w:t xml:space="preserve">риближенными вычислительными методами, а также «точными» аналитическими методами, необоснованно использующими предельные переходы нельзя решить задачу о нахождении всех 2</w:t>
      </w:r>
      <w:r>
        <w:t xml:space="preserve">^</w:t>
      </w:r>
      <w:r>
        <w:rPr>
          <w:lang w:val="en-US"/>
        </w:rPr>
        <w:t xml:space="preserve">N</w:t>
      </w:r>
      <w:r>
        <w:t xml:space="preserve"> </w:t>
      </w:r>
      <w:r>
        <w:t xml:space="preserve">значений</w:t>
      </w:r>
      <w:r>
        <w:t xml:space="preserve"> </w:t>
      </w:r>
      <w:r>
        <w:rPr>
          <w:lang w:val="en-US"/>
        </w:rPr>
        <w:t xml:space="preserve">E</w:t>
      </w:r>
      <w:r>
        <w:t xml:space="preserve"> </w:t>
      </w:r>
      <w:r>
        <w:t xml:space="preserve">и </w:t>
      </w:r>
      <w:r>
        <w:rPr>
          <w:lang w:val="en-US"/>
        </w:rPr>
        <w:t xml:space="preserve">M</w:t>
      </w:r>
      <w:r>
        <w:t xml:space="preserve">.</w:t>
      </w:r>
      <w:r>
        <w:t xml:space="preserve"> На сегодняшний день отсутствуют решения для </w:t>
      </w:r>
      <w:r>
        <w:t xml:space="preserve">2</w:t>
      </w:r>
      <w:r>
        <w:rPr>
          <w:lang w:val="en-US"/>
        </w:rPr>
        <w:t xml:space="preserve">D</w:t>
      </w:r>
      <w:r>
        <w:t xml:space="preserve"> </w:t>
      </w:r>
      <w:r>
        <w:t xml:space="preserve">и </w:t>
      </w:r>
      <w:r>
        <w:t xml:space="preserve">3</w:t>
      </w:r>
      <w:r>
        <w:rPr>
          <w:lang w:val="en-US"/>
        </w:rPr>
        <w:t xml:space="preserve">D</w:t>
      </w:r>
      <w:r>
        <w:t xml:space="preserve"> моделей Изинга даже в самом простом ферромагнитном случае. Задача о </w:t>
      </w:r>
      <w:r>
        <w:t xml:space="preserve">3</w:t>
      </w:r>
      <w:r>
        <w:rPr>
          <w:lang w:val="en-US"/>
        </w:rPr>
        <w:t xml:space="preserve">D</w:t>
      </w:r>
      <w:r>
        <w:t xml:space="preserve"> является не только </w:t>
      </w:r>
      <w:r>
        <w:rPr>
          <w:lang w:val="en-US"/>
        </w:rPr>
        <w:t xml:space="preserve">NP</w:t>
      </w:r>
      <w:r>
        <w:t xml:space="preserve"> сложной, но также и </w:t>
      </w:r>
      <w:r>
        <w:t xml:space="preserve">экспоненциально ресурсоемкой. Экспоненциально возрастают требования не только к производительности алгоритмов и аппаратной части, но и к хранению данных.</w:t>
      </w:r>
      <w:r/>
    </w:p>
    <w:p>
      <w:pPr>
        <w:pBdr/>
        <w:spacing/>
        <w:ind w:firstLine="708"/>
        <w:jc w:val="both"/>
        <w:rPr/>
      </w:pPr>
      <w:r>
        <w:t xml:space="preserve">«</w:t>
      </w:r>
      <w:r>
        <w:rPr>
          <w:i/>
          <w:iCs/>
        </w:rPr>
        <w:t xml:space="preserve">Также, стоило бы пояснить, чем предлагаемый алгоритм отличается от алгоритма, опубликованного в работе [13]. У рецензента возникло впечатление, что это один и тот же алгоритм.</w:t>
      </w:r>
      <w:r>
        <w:t xml:space="preserve">» </w:t>
      </w:r>
      <w:r/>
    </w:p>
    <w:p>
      <w:pPr>
        <w:pBdr/>
        <w:spacing/>
        <w:ind w:firstLine="708"/>
        <w:jc w:val="both"/>
        <w:rPr/>
      </w:pPr>
      <w:r>
        <w:t xml:space="preserve">В работе </w:t>
      </w:r>
      <w:r>
        <w:t xml:space="preserve">[</w:t>
      </w:r>
      <w:r>
        <w:t xml:space="preserve">13</w:t>
      </w:r>
      <w:r>
        <w:t xml:space="preserve">] был анонсирован алгоритм, а так</w:t>
      </w:r>
      <w:r>
        <w:rPr>
          <w:lang w:val="en-US"/>
        </w:rPr>
        <w:t xml:space="preserve"> </w:t>
      </w:r>
      <w:r>
        <w:rPr>
          <w:lang w:val="ru-RU"/>
        </w:rPr>
        <w:t xml:space="preserve">же</w:t>
      </w:r>
      <w:r>
        <w:t xml:space="preserve"> приведены </w:t>
      </w:r>
      <w:r>
        <w:t xml:space="preserve">результаты численных экспериментов проведённых с его помощью. В</w:t>
      </w:r>
      <w:r>
        <w:t xml:space="preserve"> текущей работе раскрывается суть алгоритма, подробности его реализации и сравнение производительности работы. </w:t>
      </w:r>
      <w:r/>
    </w:p>
    <w:p>
      <w:pPr>
        <w:pBdr/>
        <w:spacing/>
        <w:ind w:firstLine="708"/>
        <w:jc w:val="both"/>
        <w:rPr/>
      </w:pPr>
      <w:r>
        <w:t xml:space="preserve">2.2 </w:t>
      </w:r>
      <w:r>
        <w:t xml:space="preserve">«</w:t>
      </w:r>
      <w:r>
        <w:rPr>
          <w:i/>
          <w:iCs/>
        </w:rPr>
        <w:t xml:space="preserve">В работе отсутствует строгая постановка задачи, в ит</w:t>
      </w:r>
      <w:r>
        <w:rPr>
          <w:i/>
          <w:iCs/>
        </w:rPr>
        <w:t xml:space="preserve">оге не понятно, что хотят получить авторы. Если цель авторов параллельно посчитать сумму, задаваемую формулой (1), то для этого есть прекрасно работающие алгоритмы типа параллельной редукции без отсылки на нераскрытые в работе термины типа “цепочка спинов“</w:t>
      </w:r>
      <w:r>
        <w:t xml:space="preserve">».</w:t>
      </w:r>
      <w:r/>
    </w:p>
    <w:p>
      <w:pPr>
        <w:pBdr/>
        <w:spacing/>
        <w:ind w:firstLine="708"/>
        <w:jc w:val="both"/>
        <w:rPr/>
      </w:pPr>
      <w:r>
        <w:t xml:space="preserve">Необходимо</w:t>
      </w:r>
      <w:r>
        <w:t xml:space="preserve"> разработать алгоритм</w:t>
      </w:r>
      <w:r>
        <w:t xml:space="preserve"> вычисл</w:t>
      </w:r>
      <w:r>
        <w:t xml:space="preserve">ения</w:t>
      </w:r>
      <w:r>
        <w:t xml:space="preserve"> </w:t>
      </w:r>
      <w:r>
        <w:rPr>
          <w:lang w:val="en-US"/>
        </w:rPr>
        <w:t xml:space="preserve">E</w:t>
      </w:r>
      <w:r>
        <w:t xml:space="preserve"> и </w:t>
      </w:r>
      <w:r>
        <w:rPr>
          <w:lang w:val="en-US"/>
        </w:rPr>
        <w:t xml:space="preserve">M</w:t>
      </w:r>
      <w:r>
        <w:t xml:space="preserve"> для всех </w:t>
      </w:r>
      <w:r>
        <w:t xml:space="preserve">2^N конфигураций спинов.</w:t>
      </w:r>
      <w:r>
        <w:t xml:space="preserve"> П</w:t>
      </w:r>
      <w:r>
        <w:t xml:space="preserve">редставлен алгоритм поиска точного решения</w:t>
      </w:r>
      <w:r>
        <w:t xml:space="preserve"> (т.е. вычисления 100% значений </w:t>
      </w:r>
      <w:r>
        <w:rPr>
          <w:lang w:val="en-US"/>
        </w:rPr>
        <w:t xml:space="preserve">E</w:t>
      </w:r>
      <w:r>
        <w:t xml:space="preserve"> и </w:t>
      </w:r>
      <w:r>
        <w:rPr>
          <w:lang w:val="en-US"/>
        </w:rPr>
        <w:t xml:space="preserve">M</w:t>
      </w:r>
      <w:r>
        <w:t xml:space="preserve"> для 2</w:t>
      </w:r>
      <w:r>
        <w:t xml:space="preserve">^</w:t>
      </w:r>
      <w:r>
        <w:rPr>
          <w:lang w:val="en-US"/>
        </w:rPr>
        <w:t xml:space="preserve">N</w:t>
      </w:r>
      <w:r>
        <w:t xml:space="preserve">)</w:t>
      </w:r>
      <w:r>
        <w:t xml:space="preserve">, т.е. плотности состояний g(E,M)/2^N для квадратной решетки спинов модели Изинга с произвольным распределением обменных констан</w:t>
      </w:r>
      <w:r>
        <w:t xml:space="preserve">т</w:t>
      </w:r>
      <w:r>
        <w:t xml:space="preserve">. </w:t>
      </w:r>
      <w:r/>
    </w:p>
    <w:p>
      <w:pPr>
        <w:pBdr/>
        <w:spacing/>
        <w:ind w:firstLine="708"/>
        <w:jc w:val="both"/>
        <w:rPr/>
      </w:pPr>
      <w:r>
        <w:t xml:space="preserve">Определение «цепочки спинов» включено в текст.</w:t>
      </w:r>
      <w:r/>
    </w:p>
    <w:p>
      <w:pPr>
        <w:pBdr/>
        <w:spacing/>
        <w:ind w:firstLine="708"/>
        <w:jc w:val="both"/>
        <w:rPr>
          <w:highlight w:val="none"/>
        </w:rPr>
      </w:pPr>
      <w:r>
        <w:t xml:space="preserve">2.3</w:t>
      </w:r>
      <w:r>
        <w:tab/>
      </w:r>
      <w:r>
        <w:t xml:space="preserve">«</w:t>
      </w:r>
      <w:r>
        <w:rPr>
          <w:i/>
          <w:iCs/>
        </w:rPr>
        <w:t xml:space="preserve">Псевдокод, привед</w:t>
      </w:r>
      <w:r>
        <w:rPr>
          <w:i/>
          <w:iCs/>
        </w:rPr>
        <w:t xml:space="preserve">енный в работе, не помогает разобраться в особенностях реализации алгоритма. Не понятно, на каком этапе происходит распределение вычислительной работы по процессорам. С виду алгоритм выглядит как последовательный. Главный принцип представления результатов </w:t>
      </w:r>
      <w:r>
        <w:rPr>
          <w:i/>
          <w:iCs/>
        </w:rPr>
        <w:t xml:space="preserve">в научной статье – это возможность их повторения другими исследователями. Рецензент уверен, что по представленной в данной работе информации невозможно воспроизвести алгоритм, предлагаемый авторами. Раздел, посвященный особенностям реализации алгоритма на </w:t>
      </w:r>
      <w:r>
        <w:rPr>
          <w:i/>
          <w:iCs/>
        </w:rPr>
        <w:t xml:space="preserve">Open MP и CUDA, абсолютно бесполезен и не содержит никаких подробностей о взаимодействии потоков и организации работы с памятью.</w:t>
      </w:r>
      <w:r>
        <w:t xml:space="preserve">»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708"/>
        <w:jc w:val="both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Псевдо</w:t>
      </w:r>
      <w:r>
        <w:rPr>
          <w:highlight w:val="none"/>
          <w:lang w:val="ru-RU"/>
        </w:rPr>
        <w:t xml:space="preserve">код был переработан. Добавлены подробности перебора. Указан распараллеливаемый цикл.</w:t>
      </w:r>
      <w:r>
        <w:rPr>
          <w:highlight w:val="none"/>
        </w:rPr>
      </w:r>
      <w:r/>
    </w:p>
    <w:p>
      <w:pPr>
        <w:pBdr/>
        <w:spacing/>
        <w:ind w:firstLine="0"/>
        <w:jc w:val="both"/>
        <w:rPr/>
      </w:pPr>
      <w:r>
        <w:rPr>
          <w:highlight w:val="none"/>
        </w:rPr>
        <w:tab/>
        <w:t xml:space="preserve">В раздел реализации алгоритма добавлен поясняющий рисунок с подробностями о использовании памяти и взаимодействии потоков.</w:t>
      </w:r>
      <w:r>
        <w:t xml:space="preserve"> Добавлены подробности по распараллеливанию алгоритма на </w:t>
      </w:r>
      <w:r>
        <w:rPr>
          <w:lang w:val="en-US"/>
        </w:rPr>
        <w:t xml:space="preserve">CUDA</w:t>
      </w:r>
      <w:r/>
    </w:p>
    <w:p>
      <w:pPr>
        <w:pBdr/>
        <w:spacing/>
        <w:ind/>
        <w:jc w:val="both"/>
        <w:rPr/>
      </w:pPr>
      <w:r>
        <w:tab/>
        <w:t xml:space="preserve">2.4 </w:t>
      </w:r>
      <w:r>
        <w:t xml:space="preserve">«</w:t>
      </w:r>
      <w:r>
        <w:rPr>
          <w:i/>
          <w:iCs/>
        </w:rPr>
        <w:t xml:space="preserve">Работа содержит нелепые фразы типа: «Точное решение может служить инструментом эффективности как программного, так и аппаратного обеспечения».  Авторы злоупотребляют жаргоном, например:  «</w:t>
      </w:r>
      <w:r>
        <w:rPr>
          <w:b/>
          <w:bCs/>
          <w:i/>
          <w:iCs/>
        </w:rPr>
        <w:t xml:space="preserve">Точное решение</w:t>
      </w:r>
      <w:r>
        <w:rPr>
          <w:i/>
          <w:iCs/>
        </w:rPr>
        <w:t xml:space="preserve">…»,  «</w:t>
      </w:r>
      <w:r>
        <w:rPr>
          <w:b/>
          <w:bCs/>
          <w:i/>
          <w:iCs/>
        </w:rPr>
        <w:t xml:space="preserve">Решение модели Изинга</w:t>
      </w:r>
      <w:r>
        <w:rPr>
          <w:i/>
          <w:iCs/>
        </w:rPr>
        <w:t xml:space="preserve">…» и т.д. Что за свободные граничные условия, о которых говорится в подписи к рисунку 1? При</w:t>
      </w:r>
      <w:r>
        <w:rPr>
          <w:i/>
          <w:iCs/>
        </w:rPr>
        <w:t xml:space="preserve"> </w:t>
      </w:r>
      <w:r>
        <w:rPr>
          <w:i/>
          <w:iCs/>
        </w:rPr>
        <w:t xml:space="preserve">постановке</w:t>
      </w:r>
      <w:r>
        <w:rPr>
          <w:i/>
          <w:iCs/>
        </w:rPr>
        <w:t xml:space="preserve"> </w:t>
      </w:r>
      <w:r>
        <w:rPr>
          <w:i/>
          <w:iCs/>
        </w:rPr>
        <w:t xml:space="preserve">задачи</w:t>
      </w:r>
      <w:r>
        <w:rPr>
          <w:i/>
          <w:iCs/>
        </w:rPr>
        <w:t xml:space="preserve"> </w:t>
      </w:r>
      <w:r>
        <w:rPr>
          <w:i/>
          <w:iCs/>
        </w:rPr>
        <w:t xml:space="preserve">о</w:t>
      </w:r>
      <w:r>
        <w:rPr>
          <w:i/>
          <w:iCs/>
        </w:rPr>
        <w:t xml:space="preserve"> </w:t>
      </w:r>
      <w:r>
        <w:rPr>
          <w:i/>
          <w:iCs/>
        </w:rPr>
        <w:t xml:space="preserve">них</w:t>
      </w:r>
      <w:r>
        <w:rPr>
          <w:i/>
          <w:iCs/>
        </w:rPr>
        <w:t xml:space="preserve"> </w:t>
      </w:r>
      <w:r>
        <w:rPr>
          <w:i/>
          <w:iCs/>
        </w:rPr>
        <w:t xml:space="preserve">нет</w:t>
      </w:r>
      <w:r>
        <w:rPr>
          <w:i/>
          <w:iCs/>
        </w:rPr>
        <w:t xml:space="preserve"> </w:t>
      </w:r>
      <w:r>
        <w:rPr>
          <w:i/>
          <w:iCs/>
        </w:rPr>
        <w:t xml:space="preserve">ни</w:t>
      </w:r>
      <w:r>
        <w:rPr>
          <w:i/>
          <w:iCs/>
        </w:rPr>
        <w:t xml:space="preserve"> </w:t>
      </w:r>
      <w:r>
        <w:rPr>
          <w:i/>
          <w:iCs/>
        </w:rPr>
        <w:t xml:space="preserve">слова</w:t>
      </w:r>
      <w:r>
        <w:rPr>
          <w:i/>
          <w:iCs/>
        </w:rPr>
        <w:t xml:space="preserve">.</w:t>
      </w:r>
      <w:r>
        <w:t xml:space="preserve">»</w:t>
      </w:r>
      <w:r/>
      <w:r>
        <w:rPr>
          <w:highlight w:val="none"/>
        </w:rPr>
      </w:r>
      <w:r>
        <w:rPr>
          <w:highlight w:val="none"/>
        </w:rPr>
      </w:r>
      <w:r/>
    </w:p>
    <w:p>
      <w:pPr>
        <w:pBdr/>
        <w:spacing/>
        <w:ind/>
        <w:jc w:val="both"/>
        <w:rPr>
          <w:highlight w:val="none"/>
        </w:rPr>
      </w:pPr>
      <w:r>
        <w:t xml:space="preserve">Как утверждает Р. Бэкстер в основополагающей работе ``</w:t>
      </w:r>
      <w:r>
        <w:rPr>
          <w:b/>
          <w:bCs/>
        </w:rPr>
        <w:t xml:space="preserve">Точно решаемые модели</w:t>
      </w:r>
      <w:r>
        <w:t xml:space="preserve"> в статистической механике''[1] двумерные ``</w:t>
      </w:r>
      <w:r>
        <w:rPr>
          <w:b/>
          <w:bCs/>
        </w:rPr>
        <w:t xml:space="preserve">точно решаемые модели</w:t>
      </w:r>
      <w:r>
        <w:t xml:space="preserve">'' представляют большую ценность для проверки общих теорий и предположений. </w:t>
      </w:r>
      <w:r/>
    </w:p>
    <w:p>
      <w:pPr>
        <w:pBdr/>
        <w:spacing/>
        <w:ind/>
        <w:jc w:val="both"/>
        <w:rPr/>
      </w:pPr>
      <w:r>
        <w:rPr>
          <w:b/>
          <w:bCs/>
        </w:rPr>
        <w:t xml:space="preserve">Точно решаемые модели</w:t>
      </w:r>
      <w:r>
        <w:t xml:space="preserve"> – это общепринятая терминология в научной сети </w:t>
      </w:r>
      <w:r>
        <w:rPr>
          <w:lang w:val="en-US"/>
        </w:rPr>
        <w:t xml:space="preserve">Math</w:t>
      </w:r>
      <w:r>
        <w:t xml:space="preserve">-</w:t>
      </w:r>
      <w:r>
        <w:rPr>
          <w:lang w:val="en-US"/>
        </w:rPr>
        <w:t xml:space="preserve">Net</w:t>
      </w:r>
      <w:r>
        <w:t xml:space="preserve"> [2].</w:t>
      </w:r>
      <w:r/>
    </w:p>
    <w:p>
      <w:pPr>
        <w:pBdr/>
        <w:spacing/>
        <w:ind/>
        <w:jc w:val="both"/>
        <w:rPr>
          <w:highlight w:val="none"/>
        </w:rPr>
      </w:pPr>
      <w:r>
        <w:t xml:space="preserve">Общепринято считать, что </w:t>
      </w:r>
      <w:r>
        <w:t xml:space="preserve">«</w:t>
      </w:r>
      <w:r>
        <w:t xml:space="preserve">точное решение</w:t>
      </w:r>
      <w:r>
        <w:t xml:space="preserve">»</w:t>
      </w:r>
      <w:r>
        <w:t xml:space="preserve"> может служить инструментом для сравнения других алгоритмов, например, гибридного Монте-Карло, а также вычислительного оборудования, даже включая квантовый отжиг</w:t>
      </w:r>
      <w:r>
        <w:t xml:space="preserve">, см., например,</w:t>
      </w:r>
      <w:r>
        <w:t xml:space="preserve"> [</w:t>
      </w:r>
      <w:r>
        <w:t xml:space="preserve">3</w:t>
      </w:r>
      <w:r>
        <w:t xml:space="preserve">].</w:t>
      </w:r>
      <w:r/>
    </w:p>
    <w:p>
      <w:pPr>
        <w:pBdr/>
        <w:spacing/>
        <w:ind/>
        <w:jc w:val="both"/>
        <w:rPr/>
      </w:pPr>
      <w:r>
        <w:rPr>
          <w:highlight w:val="none"/>
          <w:lang w:val="ru-RU"/>
        </w:rPr>
        <w:t xml:space="preserve">Определение точно решаемых моделей помещено в начало Введения. Определение точного решения модели Изинга помещено в текст</w:t>
      </w:r>
      <w:r>
        <w:rPr>
          <w:highlight w:val="none"/>
        </w:rPr>
      </w:r>
    </w:p>
    <w:p>
      <w:pPr>
        <w:pBdr/>
        <w:spacing/>
        <w:ind/>
        <w:jc w:val="both"/>
        <w:rPr/>
      </w:pPr>
      <w:r>
        <w:t xml:space="preserve">Описание граничных условий добавлено в параграф 1.</w:t>
      </w:r>
      <w:r/>
    </w:p>
    <w:p>
      <w:pPr>
        <w:pBdr/>
        <w:spacing/>
        <w:ind w:firstLine="708"/>
        <w:jc w:val="both"/>
        <w:rPr/>
      </w:pPr>
      <w:r>
        <w:t xml:space="preserve">2.5 «</w:t>
      </w:r>
      <w:r>
        <w:rPr>
          <w:i/>
          <w:iCs/>
        </w:rPr>
        <w:t xml:space="preserve">Не понятн</w:t>
      </w:r>
      <w:r>
        <w:rPr>
          <w:i/>
          <w:iCs/>
        </w:rPr>
        <w:t xml:space="preserve">о, о чем говорит таблица 1. В ней приведено время вычислений на разных компьютерных системах, реализованных на разных языках программ, при этом, без раскрытия подробностей программной реализации. Не понятно, что такое классический алгоритм с оптимизациями.</w:t>
      </w:r>
      <w:r>
        <w:t xml:space="preserve">»</w:t>
      </w:r>
      <w:r/>
    </w:p>
    <w:p>
      <w:pPr>
        <w:pBdr/>
        <w:spacing/>
        <w:ind/>
        <w:jc w:val="both"/>
        <w:rPr/>
      </w:pPr>
      <w:r>
        <w:t xml:space="preserve">Поскольку в настоящее время отсутствуют аналитические методы получения точного решения модели Изинга, разработка алгоритмов численного расчета </w:t>
      </w:r>
      <w:r>
        <w:rPr>
          <w:lang w:val="en-US"/>
        </w:rPr>
        <w:t xml:space="preserve">g</w:t>
      </w:r>
      <w:r>
        <w:t xml:space="preserve">(</w:t>
      </w:r>
      <w:r>
        <w:rPr>
          <w:lang w:val="en-US"/>
        </w:rPr>
        <w:t xml:space="preserve">E</w:t>
      </w:r>
      <w:r>
        <w:t xml:space="preserve">,</w:t>
      </w:r>
      <w:r>
        <w:rPr>
          <w:lang w:val="en-US"/>
        </w:rPr>
        <w:t xml:space="preserve">M</w:t>
      </w:r>
      <w:r>
        <w:t xml:space="preserve">) </w:t>
      </w:r>
      <w:r>
        <w:t xml:space="preserve">не закончена на сегодняшний день, поэтому тестируются различные реализации на разных языках программирования, разные программные реализации. 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>
        <w:t xml:space="preserve">Литература:</w:t>
      </w:r>
      <w:r>
        <w:br/>
      </w:r>
      <w:r>
        <w:t xml:space="preserve">1. Бэкстер Р., Вольский Е. П., Дайхин Л. И. Точно решаемые модели в статистической механике: Пер. с англ. – Мир, 1985.</w:t>
      </w:r>
      <w:r/>
    </w:p>
    <w:p>
      <w:pPr>
        <w:pBdr/>
        <w:spacing/>
        <w:ind/>
        <w:jc w:val="both"/>
        <w:rPr/>
      </w:pPr>
      <w:r>
        <w:t xml:space="preserve">2. Н. М. Боголюбов, П. П. Кулиш, “Точно-решаемые модели квантовой нелинейной оптики”, Вопросы квантовой теории поля и статистической физики. 22, Зап. научн. сем. ПОМИ, 398, ПОМИ, СПб., 2012, 26–54; J. Math. Sci. (N. Y.), 192:1 (2013), 14–30</w:t>
      </w:r>
      <w:r/>
    </w:p>
    <w:p>
      <w:pPr>
        <w:pBdr/>
        <w:spacing/>
        <w:ind/>
        <w:jc w:val="both"/>
        <w:rPr>
          <w:lang w:val="en-US"/>
        </w:rPr>
      </w:pPr>
      <w:r>
        <w:rPr>
          <w:lang w:val="en-US"/>
        </w:rPr>
        <w:t xml:space="preserve">3</w:t>
      </w:r>
      <w:r>
        <w:rPr>
          <w:lang w:val="en-US"/>
        </w:rPr>
        <w:t xml:space="preserve">. Jałowiecki K., Rams M. M., Gardas B. Brute-forcing spin-glass problems with CUDA //Computer Physics Communications. – 2021. – </w:t>
      </w:r>
      <w:r>
        <w:t xml:space="preserve">Т</w:t>
      </w:r>
      <w:r>
        <w:rPr>
          <w:lang w:val="en-US"/>
        </w:rPr>
        <w:t xml:space="preserve">. 260. – </w:t>
      </w:r>
      <w:r>
        <w:t xml:space="preserve">С</w:t>
      </w:r>
      <w:r>
        <w:rPr>
          <w:lang w:val="en-US"/>
        </w:rPr>
        <w:t xml:space="preserve">. 107728.</w:t>
      </w:r>
      <w:r>
        <w:rPr>
          <w:lang w:val="en-US"/>
        </w:rPr>
      </w:r>
      <w:r>
        <w:rPr>
          <w:lang w:val="en-U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1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832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3888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5304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636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777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8832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9888"/>
      </w:pPr>
      <w:rPr>
        <w:rFonts w:hint="default"/>
      </w:rPr>
      <w:start w:val="1"/>
      <w:suff w:val="tab"/>
    </w:lvl>
  </w:abstractNum>
  <w:abstractNum w:abstractNumId="1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1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832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3888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5304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636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777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8832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9888"/>
      </w:pPr>
      <w:rPr>
        <w:rFonts w:hint="default"/>
      </w:rPr>
      <w:start w:val="1"/>
      <w:suff w:val="tab"/>
    </w:lvl>
  </w:abstractNum>
  <w:abstractNum w:abstractNumId="2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1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832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3888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5304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636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777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8832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9888"/>
      </w:pPr>
      <w:rPr>
        <w:rFonts w:hint="default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16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832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3888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5304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636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7776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8832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440" w:left="9888"/>
      </w:pPr>
      <w:rPr>
        <w:rFonts w:hint="default"/>
      </w:rPr>
      <w:start w:val="1"/>
      <w:suff w:val="tab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7">
    <w:name w:val="Heading 1 Char"/>
    <w:basedOn w:val="734"/>
    <w:link w:val="7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08">
    <w:name w:val="Heading 2 Char"/>
    <w:basedOn w:val="734"/>
    <w:link w:val="7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09">
    <w:name w:val="Heading 3 Char"/>
    <w:basedOn w:val="734"/>
    <w:link w:val="7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0">
    <w:name w:val="Heading 4 Char"/>
    <w:basedOn w:val="734"/>
    <w:link w:val="72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1">
    <w:name w:val="Heading 5 Char"/>
    <w:basedOn w:val="734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2">
    <w:name w:val="Heading 6 Char"/>
    <w:basedOn w:val="734"/>
    <w:link w:val="7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3">
    <w:name w:val="Heading 7 Char"/>
    <w:basedOn w:val="734"/>
    <w:link w:val="7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14">
    <w:name w:val="Heading 8 Char"/>
    <w:basedOn w:val="734"/>
    <w:link w:val="7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15">
    <w:name w:val="Heading 9 Char"/>
    <w:basedOn w:val="734"/>
    <w:link w:val="7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16">
    <w:name w:val="Title Char"/>
    <w:basedOn w:val="73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17">
    <w:name w:val="Subtitle Char"/>
    <w:basedOn w:val="73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18">
    <w:name w:val="Quote Char"/>
    <w:basedOn w:val="73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719">
    <w:name w:val="Intense Quote Char"/>
    <w:basedOn w:val="734"/>
    <w:link w:val="87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20">
    <w:name w:val="Header Char"/>
    <w:basedOn w:val="734"/>
    <w:link w:val="887"/>
    <w:uiPriority w:val="99"/>
    <w:pPr>
      <w:pBdr/>
      <w:spacing/>
      <w:ind/>
    </w:pPr>
  </w:style>
  <w:style w:type="character" w:styleId="721">
    <w:name w:val="Footer Char"/>
    <w:basedOn w:val="734"/>
    <w:link w:val="889"/>
    <w:uiPriority w:val="99"/>
    <w:pPr>
      <w:pBdr/>
      <w:spacing/>
      <w:ind/>
    </w:pPr>
  </w:style>
  <w:style w:type="character" w:styleId="722">
    <w:name w:val="Footnote Text Char"/>
    <w:basedOn w:val="734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723">
    <w:name w:val="Endnote Text Char"/>
    <w:basedOn w:val="734"/>
    <w:link w:val="895"/>
    <w:uiPriority w:val="99"/>
    <w:semiHidden/>
    <w:pPr>
      <w:pBdr/>
      <w:spacing/>
      <w:ind/>
    </w:pPr>
    <w:rPr>
      <w:sz w:val="20"/>
      <w:szCs w:val="20"/>
    </w:rPr>
  </w:style>
  <w:style w:type="paragraph" w:styleId="724" w:default="1">
    <w:name w:val="Normal"/>
    <w:qFormat/>
    <w:pPr>
      <w:pBdr/>
      <w:spacing/>
      <w:ind/>
    </w:pPr>
  </w:style>
  <w:style w:type="paragraph" w:styleId="725">
    <w:name w:val="Heading 1"/>
    <w:basedOn w:val="724"/>
    <w:next w:val="724"/>
    <w:link w:val="86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paragraph" w:styleId="726">
    <w:name w:val="Heading 2"/>
    <w:basedOn w:val="724"/>
    <w:next w:val="724"/>
    <w:link w:val="86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paragraph" w:styleId="727">
    <w:name w:val="Heading 3"/>
    <w:basedOn w:val="724"/>
    <w:next w:val="724"/>
    <w:link w:val="86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paragraph" w:styleId="728">
    <w:name w:val="Heading 4"/>
    <w:basedOn w:val="724"/>
    <w:next w:val="724"/>
    <w:link w:val="86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4b5" w:themeColor="accent1" w:themeShade="BF"/>
    </w:rPr>
  </w:style>
  <w:style w:type="paragraph" w:styleId="729">
    <w:name w:val="Heading 5"/>
    <w:basedOn w:val="724"/>
    <w:next w:val="724"/>
    <w:link w:val="86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4b5" w:themeColor="accent1" w:themeShade="BF"/>
    </w:rPr>
  </w:style>
  <w:style w:type="paragraph" w:styleId="730">
    <w:name w:val="Heading 6"/>
    <w:basedOn w:val="724"/>
    <w:next w:val="724"/>
    <w:link w:val="86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31">
    <w:name w:val="Heading 7"/>
    <w:basedOn w:val="724"/>
    <w:next w:val="724"/>
    <w:link w:val="86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32">
    <w:name w:val="Heading 8"/>
    <w:basedOn w:val="724"/>
    <w:next w:val="724"/>
    <w:link w:val="87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33">
    <w:name w:val="Heading 9"/>
    <w:basedOn w:val="724"/>
    <w:next w:val="724"/>
    <w:link w:val="87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34" w:default="1">
    <w:name w:val="Default Paragraph Font"/>
    <w:uiPriority w:val="1"/>
    <w:semiHidden/>
    <w:unhideWhenUsed/>
    <w:pPr>
      <w:pBdr/>
      <w:spacing/>
      <w:ind/>
    </w:pPr>
  </w:style>
  <w:style w:type="table" w:styleId="73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6" w:default="1">
    <w:name w:val="No List"/>
    <w:uiPriority w:val="99"/>
    <w:semiHidden/>
    <w:unhideWhenUsed/>
    <w:pPr>
      <w:pBdr/>
      <w:spacing/>
      <w:ind/>
    </w:pPr>
  </w:style>
  <w:style w:type="table" w:styleId="737">
    <w:name w:val="Table Grid"/>
    <w:basedOn w:val="73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Table Grid Light"/>
    <w:basedOn w:val="73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1"/>
    <w:basedOn w:val="735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2"/>
    <w:basedOn w:val="735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 w:customStyle="1">
    <w:name w:val="Grid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 w:customStyle="1">
    <w:name w:val="Grid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 w:customStyle="1">
    <w:name w:val="Grid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 w:customStyle="1">
    <w:name w:val="Grid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 w:customStyle="1">
    <w:name w:val="Grid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 w:customStyle="1">
    <w:name w:val="Grid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 w:customStyle="1">
    <w:name w:val="Grid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 w:customStyle="1">
    <w:name w:val="Grid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 w:customStyle="1">
    <w:name w:val="Grid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 w:customStyle="1">
    <w:name w:val="Grid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 w:customStyle="1">
    <w:name w:val="Grid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 w:customStyle="1">
    <w:name w:val="Grid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 w:customStyle="1">
    <w:name w:val="Grid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 w:customStyle="1">
    <w:name w:val="Grid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 w:customStyle="1">
    <w:name w:val="Grid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 w:customStyle="1">
    <w:name w:val="Grid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 w:customStyle="1">
    <w:name w:val="Grid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 w:customStyle="1">
    <w:name w:val="Grid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 w:customStyle="1">
    <w:name w:val="Grid Table 4 - Accent 1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 w:customStyle="1">
    <w:name w:val="Grid Table 4 - Accent 2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 w:customStyle="1">
    <w:name w:val="Grid Table 4 - Accent 3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 w:customStyle="1">
    <w:name w:val="Grid Table 4 - Accent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 w:customStyle="1">
    <w:name w:val="Grid Table 4 - Accent 5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 w:customStyle="1">
    <w:name w:val="Grid Table 4 - Accent 6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 w:customStyle="1">
    <w:name w:val="Grid Table 5 Dark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 w:customStyle="1">
    <w:name w:val="Grid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 w:customStyle="1">
    <w:name w:val="Grid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 w:customStyle="1">
    <w:name w:val="Grid Table 5 Dark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 w:customStyle="1">
    <w:name w:val="Grid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Grid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 w:customStyle="1">
    <w:name w:val="Grid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 w:customStyle="1">
    <w:name w:val="Grid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 w:customStyle="1">
    <w:name w:val="Grid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 w:customStyle="1">
    <w:name w:val="Grid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 w:customStyle="1">
    <w:name w:val="Grid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Grid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 w:customStyle="1">
    <w:name w:val="Grid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cccea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cccea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 w:customStyle="1">
    <w:name w:val="Grid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 w:customStyle="1">
    <w:name w:val="Grid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 w:customStyle="1">
    <w:name w:val="Grid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 w:customStyle="1">
    <w:name w:val="Grid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5afdd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95afdd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List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List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List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List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List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List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List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List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List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List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List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List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List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List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List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List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List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List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List Table 4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List Table 4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List Table 4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List Table 4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List Table 4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List Table 4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List Table 5 Dark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List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List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List Table 5 Dark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List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List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List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List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List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List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List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List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List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5b9bd5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5b9bd5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8da9db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8da9db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ned - Accent"/>
    <w:basedOn w:val="73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ned - Accent 1"/>
    <w:basedOn w:val="73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ned - Accent 2"/>
    <w:basedOn w:val="73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ned - Accent 3"/>
    <w:basedOn w:val="73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ned - Accent 4"/>
    <w:basedOn w:val="73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ned - Accent 5"/>
    <w:basedOn w:val="73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ned - Accent 6"/>
    <w:basedOn w:val="73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Bordered &amp; Lined - Accent"/>
    <w:basedOn w:val="73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Bordered &amp; Lined - Accent 1"/>
    <w:basedOn w:val="73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Bordered &amp; Lined - Accent 2"/>
    <w:basedOn w:val="73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Bordered &amp; Lined - Accent 3"/>
    <w:basedOn w:val="73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Bordered &amp; Lined - Accent 4"/>
    <w:basedOn w:val="73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Bordered &amp; Lined - Accent 5"/>
    <w:basedOn w:val="73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Bordered &amp; Lined - Accent 6"/>
    <w:basedOn w:val="735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Bordered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Bordered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Bordered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Bordered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Bordered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Bordered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Bordered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63" w:customStyle="1">
    <w:name w:val="Заголовок 1 Знак"/>
    <w:basedOn w:val="734"/>
    <w:link w:val="725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864" w:customStyle="1">
    <w:name w:val="Заголовок 2 Знак"/>
    <w:basedOn w:val="734"/>
    <w:link w:val="726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865" w:customStyle="1">
    <w:name w:val="Заголовок 3 Знак"/>
    <w:basedOn w:val="734"/>
    <w:link w:val="727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866" w:customStyle="1">
    <w:name w:val="Заголовок 4 Знак"/>
    <w:basedOn w:val="734"/>
    <w:link w:val="728"/>
    <w:uiPriority w:val="9"/>
    <w:pPr>
      <w:pBdr/>
      <w:spacing/>
      <w:ind/>
    </w:pPr>
    <w:rPr>
      <w:rFonts w:ascii="Arial" w:hAnsi="Arial" w:eastAsia="Arial" w:cs="Arial"/>
      <w:i/>
      <w:iCs/>
      <w:color w:val="2e74b5" w:themeColor="accent1" w:themeShade="BF"/>
    </w:rPr>
  </w:style>
  <w:style w:type="character" w:styleId="867" w:customStyle="1">
    <w:name w:val="Заголовок 5 Знак"/>
    <w:basedOn w:val="734"/>
    <w:link w:val="729"/>
    <w:uiPriority w:val="9"/>
    <w:pPr>
      <w:pBdr/>
      <w:spacing/>
      <w:ind/>
    </w:pPr>
    <w:rPr>
      <w:rFonts w:ascii="Arial" w:hAnsi="Arial" w:eastAsia="Arial" w:cs="Arial"/>
      <w:color w:val="2e74b5" w:themeColor="accent1" w:themeShade="BF"/>
    </w:rPr>
  </w:style>
  <w:style w:type="character" w:styleId="868" w:customStyle="1">
    <w:name w:val="Заголовок 6 Знак"/>
    <w:basedOn w:val="734"/>
    <w:link w:val="73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9" w:customStyle="1">
    <w:name w:val="Заголовок 7 Знак"/>
    <w:basedOn w:val="734"/>
    <w:link w:val="73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0" w:customStyle="1">
    <w:name w:val="Заголовок 8 Знак"/>
    <w:basedOn w:val="734"/>
    <w:link w:val="73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1" w:customStyle="1">
    <w:name w:val="Заголовок 9 Знак"/>
    <w:basedOn w:val="734"/>
    <w:link w:val="7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2">
    <w:name w:val="Title"/>
    <w:basedOn w:val="724"/>
    <w:next w:val="724"/>
    <w:link w:val="87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3" w:customStyle="1">
    <w:name w:val="Заголовок Знак"/>
    <w:basedOn w:val="734"/>
    <w:link w:val="87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4">
    <w:name w:val="Subtitle"/>
    <w:basedOn w:val="724"/>
    <w:next w:val="724"/>
    <w:link w:val="87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5" w:customStyle="1">
    <w:name w:val="Подзаголовок Знак"/>
    <w:basedOn w:val="734"/>
    <w:link w:val="87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6">
    <w:name w:val="Quote"/>
    <w:basedOn w:val="724"/>
    <w:next w:val="724"/>
    <w:link w:val="87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7" w:customStyle="1">
    <w:name w:val="Цитата 2 Знак"/>
    <w:basedOn w:val="734"/>
    <w:link w:val="87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Intense Emphasis"/>
    <w:basedOn w:val="734"/>
    <w:uiPriority w:val="21"/>
    <w:qFormat/>
    <w:pPr>
      <w:pBdr/>
      <w:spacing/>
      <w:ind/>
    </w:pPr>
    <w:rPr>
      <w:i/>
      <w:iCs/>
      <w:color w:val="2e74b5" w:themeColor="accent1" w:themeShade="BF"/>
    </w:rPr>
  </w:style>
  <w:style w:type="paragraph" w:styleId="879">
    <w:name w:val="Intense Quote"/>
    <w:basedOn w:val="724"/>
    <w:next w:val="724"/>
    <w:link w:val="880"/>
    <w:uiPriority w:val="30"/>
    <w:qFormat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4b5" w:themeColor="accent1" w:themeShade="BF"/>
    </w:rPr>
  </w:style>
  <w:style w:type="character" w:styleId="880" w:customStyle="1">
    <w:name w:val="Выделенная цитата Знак"/>
    <w:basedOn w:val="734"/>
    <w:link w:val="879"/>
    <w:uiPriority w:val="30"/>
    <w:pPr>
      <w:pBdr/>
      <w:spacing/>
      <w:ind/>
    </w:pPr>
    <w:rPr>
      <w:i/>
      <w:iCs/>
      <w:color w:val="2e74b5" w:themeColor="accent1" w:themeShade="BF"/>
    </w:rPr>
  </w:style>
  <w:style w:type="character" w:styleId="881">
    <w:name w:val="Intense Reference"/>
    <w:basedOn w:val="734"/>
    <w:uiPriority w:val="32"/>
    <w:qFormat/>
    <w:pPr>
      <w:pBdr/>
      <w:spacing/>
      <w:ind/>
    </w:pPr>
    <w:rPr>
      <w:b/>
      <w:bCs/>
      <w:smallCaps/>
      <w:color w:val="2e74b5" w:themeColor="accent1" w:themeShade="BF"/>
      <w:spacing w:val="5"/>
    </w:rPr>
  </w:style>
  <w:style w:type="character" w:styleId="882">
    <w:name w:val="Subtle Emphasis"/>
    <w:basedOn w:val="73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Emphasis"/>
    <w:basedOn w:val="734"/>
    <w:uiPriority w:val="20"/>
    <w:qFormat/>
    <w:pPr>
      <w:pBdr/>
      <w:spacing/>
      <w:ind/>
    </w:pPr>
    <w:rPr>
      <w:i/>
      <w:iCs/>
    </w:rPr>
  </w:style>
  <w:style w:type="character" w:styleId="884">
    <w:name w:val="Strong"/>
    <w:basedOn w:val="734"/>
    <w:uiPriority w:val="22"/>
    <w:qFormat/>
    <w:pPr>
      <w:pBdr/>
      <w:spacing/>
      <w:ind/>
    </w:pPr>
    <w:rPr>
      <w:b/>
      <w:bCs/>
    </w:rPr>
  </w:style>
  <w:style w:type="character" w:styleId="885">
    <w:name w:val="Subtle Reference"/>
    <w:basedOn w:val="73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6">
    <w:name w:val="Book Title"/>
    <w:basedOn w:val="73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7">
    <w:name w:val="Header"/>
    <w:basedOn w:val="724"/>
    <w:link w:val="88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8" w:customStyle="1">
    <w:name w:val="Верхний колонтитул Знак"/>
    <w:basedOn w:val="734"/>
    <w:link w:val="887"/>
    <w:uiPriority w:val="99"/>
    <w:pPr>
      <w:pBdr/>
      <w:spacing/>
      <w:ind/>
    </w:pPr>
  </w:style>
  <w:style w:type="paragraph" w:styleId="889">
    <w:name w:val="Footer"/>
    <w:basedOn w:val="724"/>
    <w:link w:val="89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0" w:customStyle="1">
    <w:name w:val="Нижний колонтитул Знак"/>
    <w:basedOn w:val="734"/>
    <w:link w:val="889"/>
    <w:uiPriority w:val="99"/>
    <w:pPr>
      <w:pBdr/>
      <w:spacing/>
      <w:ind/>
    </w:pPr>
  </w:style>
  <w:style w:type="paragraph" w:styleId="891">
    <w:name w:val="Caption"/>
    <w:basedOn w:val="724"/>
    <w:next w:val="724"/>
    <w:uiPriority w:val="35"/>
    <w:unhideWhenUsed/>
    <w:qFormat/>
    <w:pPr>
      <w:pBdr/>
      <w:spacing w:line="240" w:lineRule="auto"/>
      <w:ind/>
    </w:pPr>
    <w:rPr>
      <w:i/>
      <w:iCs/>
      <w:color w:val="44546a" w:themeColor="text2"/>
      <w:sz w:val="18"/>
      <w:szCs w:val="18"/>
    </w:rPr>
  </w:style>
  <w:style w:type="paragraph" w:styleId="892">
    <w:name w:val="footnote text"/>
    <w:basedOn w:val="724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 w:customStyle="1">
    <w:name w:val="Текст сноски Знак"/>
    <w:basedOn w:val="734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footnote reference"/>
    <w:basedOn w:val="734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basedOn w:val="724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 w:customStyle="1">
    <w:name w:val="Текст концевой сноски Знак"/>
    <w:basedOn w:val="734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endnote reference"/>
    <w:basedOn w:val="734"/>
    <w:uiPriority w:val="99"/>
    <w:semiHidden/>
    <w:unhideWhenUsed/>
    <w:pPr>
      <w:pBdr/>
      <w:spacing/>
      <w:ind/>
    </w:pPr>
    <w:rPr>
      <w:vertAlign w:val="superscript"/>
    </w:rPr>
  </w:style>
  <w:style w:type="character" w:styleId="898">
    <w:name w:val="Hyperlink"/>
    <w:basedOn w:val="73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9">
    <w:name w:val="FollowedHyperlink"/>
    <w:basedOn w:val="73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0">
    <w:name w:val="toc 1"/>
    <w:basedOn w:val="724"/>
    <w:next w:val="724"/>
    <w:uiPriority w:val="39"/>
    <w:unhideWhenUsed/>
    <w:pPr>
      <w:pBdr/>
      <w:spacing w:after="100"/>
      <w:ind/>
    </w:pPr>
  </w:style>
  <w:style w:type="paragraph" w:styleId="901">
    <w:name w:val="toc 2"/>
    <w:basedOn w:val="724"/>
    <w:next w:val="724"/>
    <w:uiPriority w:val="39"/>
    <w:unhideWhenUsed/>
    <w:pPr>
      <w:pBdr/>
      <w:spacing w:after="100"/>
      <w:ind w:left="220"/>
    </w:pPr>
  </w:style>
  <w:style w:type="paragraph" w:styleId="902">
    <w:name w:val="toc 3"/>
    <w:basedOn w:val="724"/>
    <w:next w:val="724"/>
    <w:uiPriority w:val="39"/>
    <w:unhideWhenUsed/>
    <w:pPr>
      <w:pBdr/>
      <w:spacing w:after="100"/>
      <w:ind w:left="440"/>
    </w:pPr>
  </w:style>
  <w:style w:type="paragraph" w:styleId="903">
    <w:name w:val="toc 4"/>
    <w:basedOn w:val="724"/>
    <w:next w:val="724"/>
    <w:uiPriority w:val="39"/>
    <w:unhideWhenUsed/>
    <w:pPr>
      <w:pBdr/>
      <w:spacing w:after="100"/>
      <w:ind w:left="660"/>
    </w:pPr>
  </w:style>
  <w:style w:type="paragraph" w:styleId="904">
    <w:name w:val="toc 5"/>
    <w:basedOn w:val="724"/>
    <w:next w:val="724"/>
    <w:uiPriority w:val="39"/>
    <w:unhideWhenUsed/>
    <w:pPr>
      <w:pBdr/>
      <w:spacing w:after="100"/>
      <w:ind w:left="880"/>
    </w:pPr>
  </w:style>
  <w:style w:type="paragraph" w:styleId="905">
    <w:name w:val="toc 6"/>
    <w:basedOn w:val="724"/>
    <w:next w:val="724"/>
    <w:uiPriority w:val="39"/>
    <w:unhideWhenUsed/>
    <w:pPr>
      <w:pBdr/>
      <w:spacing w:after="100"/>
      <w:ind w:left="1100"/>
    </w:pPr>
  </w:style>
  <w:style w:type="paragraph" w:styleId="906">
    <w:name w:val="toc 7"/>
    <w:basedOn w:val="724"/>
    <w:next w:val="724"/>
    <w:uiPriority w:val="39"/>
    <w:unhideWhenUsed/>
    <w:pPr>
      <w:pBdr/>
      <w:spacing w:after="100"/>
      <w:ind w:left="1320"/>
    </w:pPr>
  </w:style>
  <w:style w:type="paragraph" w:styleId="907">
    <w:name w:val="toc 8"/>
    <w:basedOn w:val="724"/>
    <w:next w:val="724"/>
    <w:uiPriority w:val="39"/>
    <w:unhideWhenUsed/>
    <w:pPr>
      <w:pBdr/>
      <w:spacing w:after="100"/>
      <w:ind w:left="1540"/>
    </w:pPr>
  </w:style>
  <w:style w:type="paragraph" w:styleId="908">
    <w:name w:val="toc 9"/>
    <w:basedOn w:val="724"/>
    <w:next w:val="724"/>
    <w:uiPriority w:val="39"/>
    <w:unhideWhenUsed/>
    <w:pPr>
      <w:pBdr/>
      <w:spacing w:after="100"/>
      <w:ind w:left="1760"/>
    </w:pPr>
  </w:style>
  <w:style w:type="paragraph" w:styleId="909">
    <w:name w:val="TOC Heading"/>
    <w:uiPriority w:val="39"/>
    <w:unhideWhenUsed/>
    <w:pPr>
      <w:pBdr/>
      <w:spacing/>
      <w:ind/>
    </w:pPr>
  </w:style>
  <w:style w:type="paragraph" w:styleId="910">
    <w:name w:val="table of figures"/>
    <w:basedOn w:val="724"/>
    <w:next w:val="724"/>
    <w:uiPriority w:val="99"/>
    <w:unhideWhenUsed/>
    <w:pPr>
      <w:pBdr/>
      <w:spacing w:after="0"/>
      <w:ind/>
    </w:pPr>
  </w:style>
  <w:style w:type="paragraph" w:styleId="911">
    <w:name w:val="No Spacing"/>
    <w:basedOn w:val="724"/>
    <w:uiPriority w:val="1"/>
    <w:qFormat/>
    <w:pPr>
      <w:pBdr/>
      <w:spacing w:after="0" w:line="240" w:lineRule="auto"/>
      <w:ind/>
    </w:pPr>
  </w:style>
  <w:style w:type="paragraph" w:styleId="912">
    <w:name w:val="List Paragraph"/>
    <w:basedOn w:val="72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35</cp:revision>
  <dcterms:created xsi:type="dcterms:W3CDTF">2025-03-21T08:08:00Z</dcterms:created>
  <dcterms:modified xsi:type="dcterms:W3CDTF">2025-03-27T04:15:53Z</dcterms:modified>
</cp:coreProperties>
</file>