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A53F1" w14:textId="066A134E" w:rsidR="00A74175" w:rsidRDefault="002D4B79" w:rsidP="002D4B79">
      <w:r>
        <w:rPr>
          <w:noProof/>
        </w:rPr>
        <w:drawing>
          <wp:inline distT="0" distB="0" distL="0" distR="0" wp14:anchorId="2E735694" wp14:editId="1922DFC0">
            <wp:extent cx="5940425" cy="2342515"/>
            <wp:effectExtent l="0" t="0" r="3175" b="635"/>
            <wp:docPr id="989784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848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8846" w14:textId="77777777" w:rsidR="002D4B79" w:rsidRDefault="002D4B79" w:rsidP="002D4B79">
      <w:pPr>
        <w:jc w:val="both"/>
      </w:pPr>
      <w:r w:rsidRPr="002D4B79">
        <w:t xml:space="preserve">Аннотация </w:t>
      </w:r>
    </w:p>
    <w:p w14:paraId="13711849" w14:textId="5F14F16E" w:rsidR="002D4B79" w:rsidRPr="002D4B79" w:rsidRDefault="002D4B79" w:rsidP="002D4B79">
      <w:pPr>
        <w:jc w:val="both"/>
      </w:pPr>
      <w:r w:rsidRPr="002D4B79">
        <w:t>Использование передовых численных подходов, основанных на алгоритмах оптимизации, позволяет дости</w:t>
      </w:r>
      <w:r>
        <w:t xml:space="preserve">чь </w:t>
      </w:r>
      <w:r w:rsidRPr="002D4B79">
        <w:t>значительно</w:t>
      </w:r>
      <w:r>
        <w:t>го</w:t>
      </w:r>
      <w:r w:rsidRPr="002D4B79">
        <w:t xml:space="preserve"> прогресс</w:t>
      </w:r>
      <w:r>
        <w:t>а</w:t>
      </w:r>
      <w:r w:rsidRPr="002D4B79">
        <w:t xml:space="preserve"> в изучении основного состояния и поведения при низких температурах</w:t>
      </w:r>
      <w:r>
        <w:t xml:space="preserve"> </w:t>
      </w:r>
      <w:r w:rsidRPr="002D4B79">
        <w:t>двумерных спиновых стекол Изинга. Недавние результаты привели к довольно хорошему пониманию</w:t>
      </w:r>
      <w:r>
        <w:t xml:space="preserve"> </w:t>
      </w:r>
      <w:r w:rsidRPr="002D4B79">
        <w:t>эти</w:t>
      </w:r>
      <w:r>
        <w:t>х</w:t>
      </w:r>
      <w:r w:rsidRPr="002D4B79">
        <w:t xml:space="preserve"> систем в рамках теории капельного скейлинга. В этой работе дано описание такого подхода, основанного на оптимизации, и сделан краткий обзор соответствующих</w:t>
      </w:r>
      <w:r>
        <w:t xml:space="preserve"> </w:t>
      </w:r>
      <w:r w:rsidRPr="002D4B79">
        <w:t>представлены последние результаты.</w:t>
      </w:r>
    </w:p>
    <w:p w14:paraId="1E8028FD" w14:textId="55E51510" w:rsidR="002D4B79" w:rsidRPr="002D4B79" w:rsidRDefault="002D4B79" w:rsidP="002D4B79">
      <w:pPr>
        <w:jc w:val="both"/>
      </w:pPr>
      <w:r w:rsidRPr="002D4B79">
        <w:t>Кроме того, представлены оригинальные результаты для особого типа систем, сочетающих в себе</w:t>
      </w:r>
      <w:r>
        <w:t xml:space="preserve"> </w:t>
      </w:r>
      <w:r w:rsidRPr="002D4B79">
        <w:t>ферромагнитн</w:t>
      </w:r>
      <w:r>
        <w:t>ую</w:t>
      </w:r>
      <w:r w:rsidRPr="002D4B79">
        <w:t xml:space="preserve"> подрешетка с подрешеткой спинового стекла. Результаты точных расчетов основного состояния</w:t>
      </w:r>
      <w:r>
        <w:t xml:space="preserve"> приводятся </w:t>
      </w:r>
      <w:r w:rsidRPr="002D4B79">
        <w:t>д</w:t>
      </w:r>
      <w:r>
        <w:t>ля</w:t>
      </w:r>
      <w:r w:rsidRPr="002D4B79">
        <w:t xml:space="preserve"> размера системы N = 1448×1448. Прошлые результаты подобных систем дали</w:t>
      </w:r>
      <w:r>
        <w:t xml:space="preserve"> </w:t>
      </w:r>
      <w:r w:rsidRPr="002D4B79">
        <w:t>свидетельство того, что такая система может иметь фазу спинового стекла при конечных температурах. Тем не менее,</w:t>
      </w:r>
      <w:r>
        <w:t xml:space="preserve"> </w:t>
      </w:r>
      <w:r w:rsidRPr="002D4B79">
        <w:t>настоящие результаты не подтверждают это мнение. Но для подходящего баланса между</w:t>
      </w:r>
      <w:r>
        <w:t xml:space="preserve"> </w:t>
      </w:r>
      <w:r w:rsidRPr="002D4B79">
        <w:t>ферромагнитных и ±J-спиновых связей возникают чрезвычайно большие эффекты конечного размера. Таким образом,</w:t>
      </w:r>
      <w:r>
        <w:t xml:space="preserve"> </w:t>
      </w:r>
      <w:r w:rsidRPr="002D4B79">
        <w:t>при рассмотрении систем промежуточных размеров система выглядит так, как будто она упорядочивается. Более того,</w:t>
      </w:r>
      <w:r>
        <w:t xml:space="preserve"> </w:t>
      </w:r>
      <w:r w:rsidRPr="002D4B79">
        <w:t>хотя система демонстрирует только дискретный набор взаимодействий, поведение</w:t>
      </w:r>
      <w:r>
        <w:t>, которое описывается</w:t>
      </w:r>
      <w:r w:rsidRPr="002D4B79">
        <w:t xml:space="preserve"> </w:t>
      </w:r>
      <w:r>
        <w:t>экспоненциальным з</w:t>
      </w:r>
      <w:r w:rsidRPr="002D4B79">
        <w:t>акон</w:t>
      </w:r>
      <w:r>
        <w:t>ом</w:t>
      </w:r>
      <w:r w:rsidRPr="002D4B79">
        <w:t xml:space="preserve"> для</w:t>
      </w:r>
      <w:r>
        <w:t xml:space="preserve"> э</w:t>
      </w:r>
      <w:r w:rsidRPr="002D4B79">
        <w:t>нерги</w:t>
      </w:r>
      <w:r>
        <w:t>и</w:t>
      </w:r>
      <w:r w:rsidRPr="002D4B79">
        <w:t xml:space="preserve"> можно четко наблюдать для широкого диапазона размеров системы. </w:t>
      </w:r>
      <w:r>
        <w:t xml:space="preserve">В этом состоит </w:t>
      </w:r>
      <w:r w:rsidRPr="002D4B79">
        <w:t>отличие</w:t>
      </w:r>
      <w:r>
        <w:t xml:space="preserve"> от</w:t>
      </w:r>
      <w:r w:rsidRPr="002D4B79">
        <w:t xml:space="preserve"> прошлы</w:t>
      </w:r>
      <w:r>
        <w:t>х</w:t>
      </w:r>
      <w:r w:rsidRPr="002D4B79">
        <w:t xml:space="preserve"> исследовани</w:t>
      </w:r>
      <w:r>
        <w:t>й</w:t>
      </w:r>
      <w:r w:rsidRPr="002D4B79">
        <w:t xml:space="preserve"> систем с дискретными наборами значений </w:t>
      </w:r>
      <w:r>
        <w:t>связей</w:t>
      </w:r>
      <w:r w:rsidRPr="002D4B79">
        <w:t>.</w:t>
      </w:r>
    </w:p>
    <w:p w14:paraId="68169715" w14:textId="713CC342" w:rsidR="002D4B79" w:rsidRPr="002D4B79" w:rsidRDefault="002D4B79" w:rsidP="002D4B79">
      <w:pPr>
        <w:jc w:val="both"/>
      </w:pPr>
      <w:r w:rsidRPr="002D4B79">
        <w:t>Ключевые слова Спиновые стекла · Основные состояния · Алгоритмы оптимизации · Алгоритмы согласования ·</w:t>
      </w:r>
      <w:r>
        <w:t xml:space="preserve"> </w:t>
      </w:r>
      <w:r w:rsidRPr="002D4B79">
        <w:t>Доменные стены · Капли · Процессы SLE</w:t>
      </w:r>
    </w:p>
    <w:p w14:paraId="526539F5" w14:textId="77777777" w:rsidR="002D4B79" w:rsidRDefault="002D4B79" w:rsidP="002D4B79">
      <w:pPr>
        <w:rPr>
          <w:b/>
          <w:bCs/>
        </w:rPr>
      </w:pPr>
    </w:p>
    <w:p w14:paraId="16E927EA" w14:textId="6CFA1E31" w:rsidR="002D4B79" w:rsidRDefault="002D4B79" w:rsidP="002D4B79">
      <w:pPr>
        <w:rPr>
          <w:b/>
          <w:bCs/>
        </w:rPr>
      </w:pPr>
      <w:r w:rsidRPr="002D4B79">
        <w:rPr>
          <w:b/>
          <w:bCs/>
        </w:rPr>
        <w:t>1 Introduction</w:t>
      </w:r>
    </w:p>
    <w:p w14:paraId="3AAB1A83" w14:textId="2539CD33" w:rsidR="0001171C" w:rsidRPr="0001171C" w:rsidRDefault="002D4B79" w:rsidP="0001171C">
      <w:r w:rsidRPr="002D4B79">
        <w:t>За последние четыре десятилетия спиновые стекла (С</w:t>
      </w:r>
      <w:r>
        <w:t>С</w:t>
      </w:r>
      <w:r w:rsidRPr="002D4B79">
        <w:t xml:space="preserve">) [15, 35, 65] стали одним из крупнейших </w:t>
      </w:r>
      <w:r>
        <w:t xml:space="preserve">направлений </w:t>
      </w:r>
      <w:r w:rsidRPr="002D4B79">
        <w:t>исследований</w:t>
      </w:r>
      <w:r>
        <w:t xml:space="preserve"> в </w:t>
      </w:r>
      <w:r w:rsidRPr="002D4B79">
        <w:t>области конденсированного состояния и статистической физики. Хотя был достигнут значительный прогресс, остается еще много нерешенных вопросов относительно поведения при низких температурах</w:t>
      </w:r>
      <w:r>
        <w:t xml:space="preserve"> СС</w:t>
      </w:r>
      <w:r w:rsidRPr="002D4B79">
        <w:t xml:space="preserve">, в частности, в конечных размерностях [69]. Только некоторые модели, связанные с SG, могут быть </w:t>
      </w:r>
      <w:r w:rsidR="0001171C">
        <w:t xml:space="preserve">решены </w:t>
      </w:r>
      <w:r w:rsidRPr="002D4B79">
        <w:t>аналитически. Поэтому много усилий было приложено к использованию численных подходов [45], в</w:t>
      </w:r>
      <w:r w:rsidR="0001171C">
        <w:t xml:space="preserve"> </w:t>
      </w:r>
      <w:r w:rsidR="0001171C" w:rsidRPr="0001171C">
        <w:t>конкретные методы моделирования Монте-Карло [57, 70]. Тем не менее, из-за проблемы равновесия,</w:t>
      </w:r>
      <w:r w:rsidR="0001171C">
        <w:t xml:space="preserve"> р</w:t>
      </w:r>
      <w:r w:rsidR="0001171C" w:rsidRPr="0001171C">
        <w:t xml:space="preserve">ассматриваются только системы с </w:t>
      </w:r>
      <w:r w:rsidR="0001171C">
        <w:t>относительно небольшим</w:t>
      </w:r>
      <w:r w:rsidR="0001171C" w:rsidRPr="0001171C">
        <w:t xml:space="preserve"> числом спинов. В течение последнего</w:t>
      </w:r>
      <w:r w:rsidR="0001171C">
        <w:t xml:space="preserve"> </w:t>
      </w:r>
      <w:r w:rsidR="0001171C" w:rsidRPr="0001171C">
        <w:t>десятилети</w:t>
      </w:r>
      <w:r w:rsidR="0001171C">
        <w:t>я</w:t>
      </w:r>
      <w:r w:rsidR="0001171C" w:rsidRPr="0001171C">
        <w:t xml:space="preserve">, несколько </w:t>
      </w:r>
      <w:r w:rsidR="0001171C">
        <w:t>подходов к</w:t>
      </w:r>
      <w:r w:rsidR="0001171C" w:rsidRPr="0001171C">
        <w:t xml:space="preserve"> проблем</w:t>
      </w:r>
      <w:r w:rsidR="0001171C">
        <w:t>е</w:t>
      </w:r>
      <w:r w:rsidR="0001171C" w:rsidRPr="0001171C">
        <w:t xml:space="preserve"> основного </w:t>
      </w:r>
      <w:r w:rsidR="0001171C" w:rsidRPr="0001171C">
        <w:lastRenderedPageBreak/>
        <w:t>состояния спинового стекла (GS) в</w:t>
      </w:r>
      <w:r w:rsidR="0001171C">
        <w:t xml:space="preserve"> рамках</w:t>
      </w:r>
      <w:r w:rsidR="0001171C" w:rsidRPr="0001171C">
        <w:t xml:space="preserve"> комбинаторн</w:t>
      </w:r>
      <w:r w:rsidR="0001171C">
        <w:t>ой</w:t>
      </w:r>
      <w:r w:rsidR="0001171C" w:rsidRPr="0001171C">
        <w:t xml:space="preserve"> оптимизаци</w:t>
      </w:r>
      <w:r w:rsidR="0001171C">
        <w:t xml:space="preserve">и </w:t>
      </w:r>
      <w:r w:rsidR="0001171C" w:rsidRPr="0001171C">
        <w:t>были разработаны [49], что позволило изучать гораздо более крупные системы.</w:t>
      </w:r>
    </w:p>
    <w:p w14:paraId="06E2662E" w14:textId="7B4C5F2B" w:rsidR="0001171C" w:rsidRDefault="0001171C" w:rsidP="0001171C">
      <w:r>
        <w:t>Это позволяет</w:t>
      </w:r>
      <w:r w:rsidRPr="0001171C">
        <w:t xml:space="preserve"> для частного случая двумерных спиновых стекол Изинга</w:t>
      </w:r>
      <w:r>
        <w:t xml:space="preserve"> такого</w:t>
      </w:r>
      <w:r w:rsidRPr="0001171C">
        <w:t>, как</w:t>
      </w:r>
      <w:r>
        <w:t xml:space="preserve"> </w:t>
      </w:r>
      <w:r w:rsidRPr="0001171C">
        <w:t>GS и низкоэнергетические возбужденные конфигурации можно получить с помощью так называемых алгоритмов согласования</w:t>
      </w:r>
      <w:r>
        <w:t xml:space="preserve"> в</w:t>
      </w:r>
      <w:r w:rsidRPr="0001171C">
        <w:t xml:space="preserve"> теории графов. Это позволяет обрабатывать гораздо большие образцы по сравнению с Монте-Карло</w:t>
      </w:r>
      <w:r>
        <w:t xml:space="preserve"> </w:t>
      </w:r>
      <w:r w:rsidRPr="0001171C">
        <w:t>моделирования, даже если методы Монте-Карло сочетаются с передовыми методами [83].</w:t>
      </w:r>
    </w:p>
    <w:p w14:paraId="546FE3F6" w14:textId="57D7F1EE" w:rsidR="00F72672" w:rsidRDefault="00F72672" w:rsidP="00F72672">
      <w:r w:rsidRPr="00F72672">
        <w:t>Рассматриваемая здесь модель С</w:t>
      </w:r>
      <w:r>
        <w:t>С</w:t>
      </w:r>
      <w:r w:rsidRPr="00F72672">
        <w:t xml:space="preserve"> [31, 86] состоит из N спинов Изинга σi =±1, помещенных на</w:t>
      </w:r>
      <w:r>
        <w:t xml:space="preserve"> </w:t>
      </w:r>
      <w:r w:rsidRPr="00F72672">
        <w:t>регулярной решетке или, в более общем смысле, на узлах графа. Функция Гамильтона имеет вид</w:t>
      </w:r>
    </w:p>
    <w:p w14:paraId="62FA91F4" w14:textId="54EEFD0B" w:rsidR="00F72672" w:rsidRDefault="00F72672" w:rsidP="00F72672">
      <w:r>
        <w:rPr>
          <w:noProof/>
        </w:rPr>
        <w:drawing>
          <wp:inline distT="0" distB="0" distL="0" distR="0" wp14:anchorId="6F6E71F9" wp14:editId="2206779A">
            <wp:extent cx="5940425" cy="857885"/>
            <wp:effectExtent l="0" t="0" r="3175" b="0"/>
            <wp:docPr id="169131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1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1743" w14:textId="09479151" w:rsidR="00F72672" w:rsidRDefault="00F72672" w:rsidP="00F72672">
      <w:r w:rsidRPr="00F72672">
        <w:t>Сумма i, j пробегает все пары взаимодействующих спинов, т.е. ребра графа, и</w:t>
      </w:r>
      <w:r>
        <w:t xml:space="preserve"> </w:t>
      </w:r>
      <w:r w:rsidRPr="00F72672">
        <w:t>Jij обозначает силу связи, соединяющей спины i и j. Для каждой реализации</w:t>
      </w:r>
      <w:r>
        <w:t xml:space="preserve"> </w:t>
      </w:r>
      <w:r w:rsidRPr="00F72672">
        <w:t>при беспорядке значения Jij связей рисуются в соответствии с заданным распределением вероятностей.</w:t>
      </w:r>
      <w:r>
        <w:t xml:space="preserve"> </w:t>
      </w:r>
      <w:r w:rsidRPr="00F72672">
        <w:t>Очень распространены распределение Гаусса и бимодальное распределение ±J, которые имеют</w:t>
      </w:r>
      <w:r>
        <w:t xml:space="preserve"> </w:t>
      </w:r>
      <w:r w:rsidRPr="00F72672">
        <w:t>следующие плотности вероятности соответственно:</w:t>
      </w:r>
    </w:p>
    <w:p w14:paraId="741CA539" w14:textId="749BB76D" w:rsidR="00F72672" w:rsidRPr="00F72672" w:rsidRDefault="00F72672" w:rsidP="00F72672">
      <w:r>
        <w:rPr>
          <w:noProof/>
        </w:rPr>
        <w:drawing>
          <wp:inline distT="0" distB="0" distL="0" distR="0" wp14:anchorId="14D8C9E9" wp14:editId="5DA57AA3">
            <wp:extent cx="5940425" cy="1370965"/>
            <wp:effectExtent l="0" t="0" r="3175" b="635"/>
            <wp:docPr id="1700931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31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A04F" w14:textId="47872375" w:rsidR="004A44F7" w:rsidRPr="004A44F7" w:rsidRDefault="004A44F7" w:rsidP="004A44F7">
      <w:r w:rsidRPr="004A44F7">
        <w:t xml:space="preserve">Реализация дается фиксированным набором случайно выбранных значений </w:t>
      </w:r>
      <w:r>
        <w:rPr>
          <w:lang w:val="en-US"/>
        </w:rPr>
        <w:t>J</w:t>
      </w:r>
      <w:r w:rsidRPr="004A44F7">
        <w:t>. Реализация –</w:t>
      </w:r>
      <w:r w:rsidRPr="004A44F7">
        <w:t xml:space="preserve"> </w:t>
      </w:r>
      <w:r w:rsidRPr="004A44F7">
        <w:t xml:space="preserve">не изменяется на протяжении всего расчета или моделирования. Это называется </w:t>
      </w:r>
      <w:r>
        <w:t>вмороженным</w:t>
      </w:r>
      <w:r w:rsidRPr="004A44F7">
        <w:t xml:space="preserve"> </w:t>
      </w:r>
      <w:r>
        <w:t>беспорядком</w:t>
      </w:r>
      <w:r w:rsidRPr="004A44F7">
        <w:t>. В приведенной выше модели SG GS представляет собой такое распределение спинов, что гамильтоновская</w:t>
      </w:r>
      <w:r>
        <w:t xml:space="preserve"> </w:t>
      </w:r>
      <w:r w:rsidRPr="004A44F7">
        <w:t>функция достигает минимума.</w:t>
      </w:r>
    </w:p>
    <w:p w14:paraId="672FD515" w14:textId="0A2E913A" w:rsidR="004A44F7" w:rsidRPr="004A44F7" w:rsidRDefault="004A44F7" w:rsidP="004A44F7">
      <w:r w:rsidRPr="004A44F7">
        <w:t>Если лежащий в основе граф взаимодействия регулярен, говорят о модели Эдвардса-Андерсона (ЭА)</w:t>
      </w:r>
      <w:r>
        <w:t xml:space="preserve"> </w:t>
      </w:r>
      <w:r w:rsidRPr="004A44F7">
        <w:t>модель [31]. С другой стороны, версия модели для среднего поля (MF), включающая взаимодействия</w:t>
      </w:r>
      <w:r>
        <w:t xml:space="preserve"> </w:t>
      </w:r>
      <w:r w:rsidRPr="004A44F7">
        <w:t>между всеми парами спинов было введено Шеррингтоном и Киркпатриком (СК) [86].</w:t>
      </w:r>
    </w:p>
    <w:p w14:paraId="7BB6D885" w14:textId="38C45CEB" w:rsidR="004A44F7" w:rsidRPr="004A44F7" w:rsidRDefault="004A44F7" w:rsidP="004A44F7">
      <w:r w:rsidRPr="004A44F7">
        <w:t xml:space="preserve">Для гауссовского распределения </w:t>
      </w:r>
      <w:r>
        <w:rPr>
          <w:lang w:val="en-US"/>
        </w:rPr>
        <w:t>J</w:t>
      </w:r>
      <w:r w:rsidRPr="004A44F7">
        <w:t xml:space="preserve"> Паризи решил модель SK в 1980-х годах</w:t>
      </w:r>
      <w:r w:rsidRPr="004A44F7">
        <w:t xml:space="preserve"> </w:t>
      </w:r>
      <w:r w:rsidRPr="004A44F7">
        <w:t>[65] за счет использования нескольких усовершенствованных методов. Основное свойство заключается в том, что получается сложный энергетический ландшафт, который организуется в термодинамическом порядке</w:t>
      </w:r>
      <w:r w:rsidRPr="004A44F7">
        <w:t xml:space="preserve"> </w:t>
      </w:r>
      <w:r>
        <w:t xml:space="preserve">и </w:t>
      </w:r>
      <w:r w:rsidRPr="004A44F7">
        <w:t>иерархически ограничи</w:t>
      </w:r>
      <w:r>
        <w:t>вает</w:t>
      </w:r>
      <w:r w:rsidRPr="004A44F7">
        <w:t xml:space="preserve"> пространство состояний. В частности, существует множество</w:t>
      </w:r>
      <w:r>
        <w:t xml:space="preserve"> </w:t>
      </w:r>
      <w:r w:rsidRPr="004A44F7">
        <w:t>низкоэнергетически</w:t>
      </w:r>
      <w:r>
        <w:t>х</w:t>
      </w:r>
      <w:r w:rsidRPr="004A44F7">
        <w:t xml:space="preserve"> состояни</w:t>
      </w:r>
      <w:r>
        <w:t>й</w:t>
      </w:r>
      <w:r w:rsidRPr="004A44F7">
        <w:t>, которые сильно отличаются друг от друга.</w:t>
      </w:r>
    </w:p>
    <w:p w14:paraId="5DE46DE6" w14:textId="42334F7F" w:rsidR="00D44100" w:rsidRPr="004A44F7" w:rsidRDefault="004A44F7" w:rsidP="00D44100">
      <w:r w:rsidRPr="004A44F7">
        <w:t>Один из величайших нерешенных вопросов в физике спинового стекла заключается в том, в какой степени</w:t>
      </w:r>
      <w:r>
        <w:t xml:space="preserve"> </w:t>
      </w:r>
      <w:r w:rsidRPr="004A44F7">
        <w:t xml:space="preserve">свойства модели </w:t>
      </w:r>
      <w:r w:rsidR="000C4ED8">
        <w:t xml:space="preserve">среднего поля </w:t>
      </w:r>
      <w:r w:rsidRPr="004A44F7">
        <w:t>присутствуют для конечномерных С</w:t>
      </w:r>
      <w:r w:rsidR="000C4ED8">
        <w:t>С</w:t>
      </w:r>
      <w:r w:rsidRPr="004A44F7">
        <w:t>. Противостоящий</w:t>
      </w:r>
      <w:r>
        <w:t xml:space="preserve"> </w:t>
      </w:r>
      <w:r w:rsidRPr="004A44F7">
        <w:t>теории к картине М</w:t>
      </w:r>
      <w:r w:rsidR="000C4ED8">
        <w:t>Ф</w:t>
      </w:r>
      <w:r w:rsidRPr="004A44F7">
        <w:t xml:space="preserve"> является так называемая капельная картина [19, 22, 36, 37, 60]. </w:t>
      </w:r>
      <w:r w:rsidR="00586628">
        <w:t xml:space="preserve"> </w:t>
      </w:r>
      <w:r w:rsidRPr="004A44F7">
        <w:t xml:space="preserve">Картина предполагает, что низкотемпературное поведение определяется </w:t>
      </w:r>
      <w:r w:rsidRPr="004A44F7">
        <w:lastRenderedPageBreak/>
        <w:t>капельноподобными возбуждениями.</w:t>
      </w:r>
      <w:r w:rsidR="00586628">
        <w:t xml:space="preserve"> </w:t>
      </w:r>
      <w:r w:rsidRPr="004A44F7">
        <w:t xml:space="preserve">Капля состоит из компактной области спинов, обращенных по отношению к </w:t>
      </w:r>
      <w:r w:rsidR="000C4ED8">
        <w:t>С</w:t>
      </w:r>
      <w:r w:rsidRPr="004A44F7">
        <w:t>С. Типичны</w:t>
      </w:r>
      <w:r w:rsidR="00586628">
        <w:t>е в</w:t>
      </w:r>
      <w:r w:rsidRPr="004A44F7">
        <w:t>озбуждения - это те, которые доминируют в термодинамическом поведении. Ключевой ингредиент средства</w:t>
      </w:r>
      <w:r w:rsidR="000C4ED8">
        <w:t xml:space="preserve"> </w:t>
      </w:r>
      <w:r w:rsidR="00D44100" w:rsidRPr="004A44F7">
        <w:t>кап</w:t>
      </w:r>
      <w:r w:rsidR="00D44100">
        <w:t>е</w:t>
      </w:r>
      <w:r w:rsidR="00D44100" w:rsidRPr="004A44F7">
        <w:t>л</w:t>
      </w:r>
      <w:r w:rsidR="00D44100">
        <w:t xml:space="preserve">ьной модели </w:t>
      </w:r>
      <w:r w:rsidR="00D44100" w:rsidRPr="004A44F7">
        <w:t xml:space="preserve"> заключается в том, что типичные возбуждения линейной пространственной протяженности l, как предполагается</w:t>
      </w:r>
    </w:p>
    <w:p w14:paraId="70286DE7" w14:textId="5B1F7EB8" w:rsidR="000C4ED8" w:rsidRPr="004A44F7" w:rsidRDefault="000C4ED8" w:rsidP="004A44F7">
      <w:r>
        <w:rPr>
          <w:noProof/>
        </w:rPr>
        <w:drawing>
          <wp:inline distT="0" distB="0" distL="0" distR="0" wp14:anchorId="624D396D" wp14:editId="65F20199">
            <wp:extent cx="5940425" cy="669290"/>
            <wp:effectExtent l="0" t="0" r="3175" b="0"/>
            <wp:docPr id="223137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37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D681" w14:textId="626C5B9F" w:rsidR="00021596" w:rsidRPr="00021596" w:rsidRDefault="00D44100" w:rsidP="00021596">
      <w:r w:rsidRPr="00D44100">
        <w:t xml:space="preserve">где θ обозначает характеристический показатель. Обратите внимание, что </w:t>
      </w:r>
      <w:r w:rsidR="00021596">
        <w:t>термин «</w:t>
      </w:r>
      <w:r w:rsidRPr="00D44100">
        <w:t>типичный</w:t>
      </w:r>
      <w:r w:rsidR="00021596">
        <w:t>»</w:t>
      </w:r>
      <w:r w:rsidRPr="00D44100">
        <w:t xml:space="preserve"> здесь</w:t>
      </w:r>
      <w:r w:rsidR="00021596" w:rsidRPr="00021596">
        <w:t xml:space="preserve"> </w:t>
      </w:r>
      <w:r w:rsidRPr="00D44100">
        <w:t xml:space="preserve"> означает, что они доминируют</w:t>
      </w:r>
      <w:r>
        <w:t xml:space="preserve"> в </w:t>
      </w:r>
      <w:r w:rsidRPr="00D44100">
        <w:t>термодинамическо</w:t>
      </w:r>
      <w:r>
        <w:t>м</w:t>
      </w:r>
      <w:r w:rsidRPr="00D44100">
        <w:t xml:space="preserve"> поведени</w:t>
      </w:r>
      <w:r w:rsidR="00021596">
        <w:t>и</w:t>
      </w:r>
      <w:r w:rsidRPr="00D44100">
        <w:t>. Это означает, что при конечной температуре капля имеет минимум</w:t>
      </w:r>
      <w:r w:rsidR="00021596">
        <w:t xml:space="preserve"> </w:t>
      </w:r>
      <w:r w:rsidR="00021596" w:rsidRPr="00021596">
        <w:t>свободн</w:t>
      </w:r>
      <w:r w:rsidR="00021596">
        <w:t>ой</w:t>
      </w:r>
      <w:r w:rsidR="00021596" w:rsidRPr="00021596">
        <w:t xml:space="preserve"> энерги</w:t>
      </w:r>
      <w:r w:rsidR="00021596">
        <w:t>и</w:t>
      </w:r>
      <w:r w:rsidR="00021596" w:rsidRPr="00021596">
        <w:t xml:space="preserve"> для заданного масштаба длины </w:t>
      </w:r>
      <w:r w:rsidR="00021596" w:rsidRPr="00021596">
        <w:rPr>
          <w:lang w:val="en-US"/>
        </w:rPr>
        <w:t>l</w:t>
      </w:r>
      <w:r w:rsidR="00021596" w:rsidRPr="00021596">
        <w:t xml:space="preserve"> капли. Для </w:t>
      </w:r>
      <w:r w:rsidR="00021596" w:rsidRPr="00021596">
        <w:rPr>
          <w:lang w:val="en-US"/>
        </w:rPr>
        <w:t>T</w:t>
      </w:r>
      <w:r w:rsidR="00021596" w:rsidRPr="00021596">
        <w:t xml:space="preserve"> = 0 требование минимума свободной энергии</w:t>
      </w:r>
      <w:r w:rsidR="00021596">
        <w:t xml:space="preserve"> </w:t>
      </w:r>
      <w:r w:rsidR="00021596" w:rsidRPr="00021596">
        <w:t>переходит в условие минимума энергии. Предполагается, что поверхность капли</w:t>
      </w:r>
      <w:r w:rsidR="00021596">
        <w:t xml:space="preserve"> </w:t>
      </w:r>
      <w:r w:rsidR="00021596" w:rsidRPr="00021596">
        <w:t xml:space="preserve">имеет фрактальную размерность </w:t>
      </w:r>
      <w:r w:rsidR="00021596" w:rsidRPr="00021596">
        <w:rPr>
          <w:lang w:val="en-US"/>
        </w:rPr>
        <w:t>ds</w:t>
      </w:r>
      <w:r w:rsidR="00021596" w:rsidRPr="00021596">
        <w:t xml:space="preserve"> &lt;</w:t>
      </w:r>
      <w:r w:rsidR="00021596" w:rsidRPr="00021596">
        <w:rPr>
          <w:lang w:val="en-US"/>
        </w:rPr>
        <w:t>d</w:t>
      </w:r>
      <w:r w:rsidR="00021596" w:rsidRPr="00021596">
        <w:t xml:space="preserve">, где </w:t>
      </w:r>
      <w:r w:rsidR="00021596" w:rsidRPr="00021596">
        <w:rPr>
          <w:lang w:val="en-US"/>
        </w:rPr>
        <w:t>d</w:t>
      </w:r>
      <w:r w:rsidR="00021596" w:rsidRPr="00021596">
        <w:t xml:space="preserve"> - размерность пространства. Заметим, что поверхность</w:t>
      </w:r>
      <w:r w:rsidR="00021596">
        <w:t xml:space="preserve"> </w:t>
      </w:r>
      <w:r w:rsidR="00021596" w:rsidRPr="00021596">
        <w:t>капли одновременно является доменной стенкой (ДС) в системе, отделяя спины, имеющие</w:t>
      </w:r>
      <w:r w:rsidR="00021596">
        <w:t xml:space="preserve"> </w:t>
      </w:r>
      <w:r w:rsidR="00021596" w:rsidRPr="00021596">
        <w:t>одну ориентацию основного состояния, от области спинов с противоположной ориентацией.</w:t>
      </w:r>
    </w:p>
    <w:p w14:paraId="509FD102" w14:textId="61B61630" w:rsidR="00021596" w:rsidRDefault="00021596" w:rsidP="00021596">
      <w:r w:rsidRPr="00021596">
        <w:t xml:space="preserve">Кроме того, обычно предполагается, что масштабное поведение энергии </w:t>
      </w:r>
      <w:r w:rsidRPr="00021596">
        <w:rPr>
          <w:lang w:val="en-US"/>
        </w:rPr>
        <w:t>ΔE</w:t>
      </w:r>
      <w:r w:rsidRPr="00021596">
        <w:t xml:space="preserve"> различных</w:t>
      </w:r>
      <w:r>
        <w:t xml:space="preserve"> </w:t>
      </w:r>
      <w:r w:rsidRPr="00021596">
        <w:t>типов возбуждений, например, капель и других доменных стенок, которые могут быть вызваны, например, путем</w:t>
      </w:r>
      <w:r>
        <w:t xml:space="preserve"> </w:t>
      </w:r>
      <w:r w:rsidRPr="00021596">
        <w:t xml:space="preserve">изменением граничных условий, описывается одной и той же экспонентой </w:t>
      </w:r>
      <w:r w:rsidRPr="00021596">
        <w:rPr>
          <w:lang w:val="en-US"/>
        </w:rPr>
        <w:t>θ</w:t>
      </w:r>
      <w:r>
        <w:t xml:space="preserve"> </w:t>
      </w:r>
      <w:r w:rsidRPr="00021596">
        <w:t>и простота всех возбуждений означает, что в энергетическом ландшафте доминируют две большие</w:t>
      </w:r>
      <w:r>
        <w:t xml:space="preserve"> </w:t>
      </w:r>
      <w:r w:rsidRPr="00021596">
        <w:t xml:space="preserve">долин, а два </w:t>
      </w:r>
      <w:r>
        <w:t>основных состояния</w:t>
      </w:r>
      <w:r w:rsidRPr="00021596">
        <w:t xml:space="preserve"> находятся на дне этих долин.</w:t>
      </w:r>
    </w:p>
    <w:p w14:paraId="7D02A5C5" w14:textId="77777777" w:rsidR="00021596" w:rsidRDefault="00021596" w:rsidP="00021596"/>
    <w:p w14:paraId="17B75232" w14:textId="3DC986F2" w:rsidR="00021596" w:rsidRDefault="00021596" w:rsidP="00021596">
      <w:r>
        <w:t xml:space="preserve">В данной работе рассматриваются результаты для двумерной (d = 2) модели, полученные в за последнее десятилетие с использованием точных алгоритмов </w:t>
      </w:r>
      <w:r>
        <w:t>поиска</w:t>
      </w:r>
      <w:r>
        <w:t xml:space="preserve"> GS. Эти результаты убедительно подтверждают</w:t>
      </w:r>
      <w:r>
        <w:t xml:space="preserve"> правомочность </w:t>
      </w:r>
      <w:r>
        <w:t>капельной картины для двумерных СГ. Отметим, что результаты конечно-температурного моделирования</w:t>
      </w:r>
      <w:r>
        <w:t xml:space="preserve"> </w:t>
      </w:r>
      <w:r>
        <w:t>здесь не рассматриваются. На протяжении всей работы будут рассматриваться системы с периодическими граничными условиями</w:t>
      </w:r>
      <w:r>
        <w:t xml:space="preserve"> </w:t>
      </w:r>
      <w:r>
        <w:t xml:space="preserve">в одном направлении. Работа организована следующим образом: </w:t>
      </w:r>
      <w:r>
        <w:t>в</w:t>
      </w:r>
      <w:r>
        <w:t xml:space="preserve"> разделе 2 рассмотрены некоторые алгоритмы, используемые для получения точных ОО.</w:t>
      </w:r>
    </w:p>
    <w:p w14:paraId="268F77EE" w14:textId="65B13458" w:rsidR="00021596" w:rsidRDefault="00021596" w:rsidP="00021596">
      <w:r>
        <w:t>А</w:t>
      </w:r>
      <w:r>
        <w:t xml:space="preserve">лгоритмы, используемые для получения точных </w:t>
      </w:r>
      <w:r>
        <w:t>значений энергии основных состояний</w:t>
      </w:r>
      <w:r>
        <w:t>, а также возбуждения доменных стенок и капель</w:t>
      </w:r>
      <w:r>
        <w:t xml:space="preserve"> </w:t>
      </w:r>
      <w:r>
        <w:t>объясняются в педагогическом стиле. В разд. 3 представлены основные результаты этих расчетов. В четвертом разделе приводятся новые результаты для системы со смесью обычной ферромагнитной</w:t>
      </w:r>
      <w:r w:rsidR="00F94B75">
        <w:t xml:space="preserve"> </w:t>
      </w:r>
      <w:r>
        <w:t>подсистемы со спин-стеклянной подсистемой. В последнем разделе подводится итог.</w:t>
      </w:r>
    </w:p>
    <w:p w14:paraId="4B798D78" w14:textId="76D9C496" w:rsidR="00F94B75" w:rsidRDefault="00641B65" w:rsidP="00021596">
      <w:pPr>
        <w:rPr>
          <w:b/>
          <w:bCs/>
        </w:rPr>
      </w:pPr>
      <w:r w:rsidRPr="00641B65">
        <w:rPr>
          <w:b/>
          <w:bCs/>
        </w:rPr>
        <w:t xml:space="preserve">2 </w:t>
      </w:r>
      <w:r>
        <w:rPr>
          <w:b/>
          <w:bCs/>
        </w:rPr>
        <w:t>Алгоритмы</w:t>
      </w:r>
    </w:p>
    <w:p w14:paraId="2121A3D1" w14:textId="7B4E4508" w:rsidR="00641B65" w:rsidRDefault="00641B65" w:rsidP="00641B65">
      <w:r>
        <w:t xml:space="preserve">В общем случае вычисление спин-стеклянного </w:t>
      </w:r>
      <w:r>
        <w:t>основного состояния</w:t>
      </w:r>
      <w:r>
        <w:t xml:space="preserve"> является NP-полной задачей [7]. Таким образом, до сих пор</w:t>
      </w:r>
      <w:r>
        <w:t xml:space="preserve"> </w:t>
      </w:r>
      <w:r>
        <w:t xml:space="preserve">известны только алгоритмы с экспоненциальным временем в худшем случае. Для </w:t>
      </w:r>
      <w:r>
        <w:t>основного состояния</w:t>
      </w:r>
      <w:r>
        <w:t xml:space="preserve"> самым быстрым из известных подходов</w:t>
      </w:r>
      <w:r>
        <w:t xml:space="preserve"> </w:t>
      </w:r>
      <w:r>
        <w:t>является алгоритм Branch-and-Cut [87, 88].</w:t>
      </w:r>
    </w:p>
    <w:p w14:paraId="7636EF7D" w14:textId="6C460B4C" w:rsidR="00641B65" w:rsidRDefault="00641B65" w:rsidP="00641B65">
      <w:r>
        <w:t>Тем не менее, для вычисления точных основных состояний и соответствующих возбуждений двумерных</w:t>
      </w:r>
      <w:r>
        <w:t xml:space="preserve"> </w:t>
      </w:r>
      <w:r>
        <w:t xml:space="preserve">СГ Изинга, существуют алгоритмы полиномиального времени [8, 14, 30, 49, 64, 67, 75, 76, 91], что позволяет обрабатывать системы больших размеров. Здесь описывается </w:t>
      </w:r>
      <w:r>
        <w:lastRenderedPageBreak/>
        <w:t>стандартный подход</w:t>
      </w:r>
      <w:r>
        <w:t xml:space="preserve"> </w:t>
      </w:r>
      <w:r>
        <w:t>,</w:t>
      </w:r>
      <w:r>
        <w:t xml:space="preserve"> </w:t>
      </w:r>
      <w:r>
        <w:t>который основан на прямом отображении на задачу соответствия. Этот подход работает для планарных</w:t>
      </w:r>
    </w:p>
    <w:p w14:paraId="348E93B5" w14:textId="77777777" w:rsidR="00641B65" w:rsidRDefault="00641B65" w:rsidP="00641B65">
      <w:r>
        <w:t>спиновых стекол и был использован для получения многих из недавних результатов, подтверждающих картину капель.</w:t>
      </w:r>
    </w:p>
    <w:p w14:paraId="043D6D2C" w14:textId="3FF6A676" w:rsidR="00641B65" w:rsidRDefault="00641B65" w:rsidP="00641B65">
      <w:r>
        <w:t>Для объяснения алгоритмов необходимы некоторые понятия из теории графов [89], которые будут приведены вначале. Затем будет представлен алгоритм получения основных состояний. И наконец, расширения</w:t>
      </w:r>
      <w:r>
        <w:t xml:space="preserve"> </w:t>
      </w:r>
      <w:r>
        <w:t>алгоритма, необходимые для вычисления возбуждений. Изложение материала в этом разделе</w:t>
      </w:r>
      <w:r>
        <w:t xml:space="preserve"> </w:t>
      </w:r>
      <w:r>
        <w:t xml:space="preserve">является сжатой, но все же педагогической версией обширного изложения в работе [43]. </w:t>
      </w:r>
    </w:p>
    <w:p w14:paraId="32AA358A" w14:textId="2D6182A4" w:rsidR="00A05CA0" w:rsidRDefault="00A05CA0" w:rsidP="00641B65">
      <w:r w:rsidRPr="00A05CA0">
        <w:t xml:space="preserve">2.1 </w:t>
      </w:r>
      <w:r>
        <w:t>Графы</w:t>
      </w:r>
    </w:p>
    <w:p w14:paraId="752C9ABF" w14:textId="5267E31C" w:rsidR="00A05CA0" w:rsidRDefault="00A05CA0" w:rsidP="00A05CA0">
      <w:r>
        <w:t>Конечный неориентированный граф G = (V,E) - это конечное множество V вершин (или узлов), соединенных</w:t>
      </w:r>
      <w:r>
        <w:t xml:space="preserve"> </w:t>
      </w:r>
      <w:r>
        <w:t xml:space="preserve">множеством E </w:t>
      </w:r>
      <w:r>
        <w:rPr>
          <w:rFonts w:ascii="Cambria Math" w:hAnsi="Cambria Math" w:cs="Cambria Math"/>
        </w:rPr>
        <w:t>⊂</w:t>
      </w:r>
      <w:r>
        <w:t xml:space="preserve"> V (2) </w:t>
      </w:r>
      <w:r>
        <w:rPr>
          <w:rFonts w:ascii="Aptos" w:hAnsi="Aptos" w:cs="Aptos"/>
        </w:rPr>
        <w:t>неориентированных</w:t>
      </w:r>
      <w:r>
        <w:t xml:space="preserve"> </w:t>
      </w:r>
      <w:r>
        <w:rPr>
          <w:rFonts w:ascii="Aptos" w:hAnsi="Aptos" w:cs="Aptos"/>
        </w:rPr>
        <w:t>ребер</w:t>
      </w:r>
      <w:r>
        <w:t xml:space="preserve"> (</w:t>
      </w:r>
      <w:r>
        <w:rPr>
          <w:rFonts w:ascii="Aptos" w:hAnsi="Aptos" w:cs="Aptos"/>
        </w:rPr>
        <w:t>или</w:t>
      </w:r>
      <w:r>
        <w:t xml:space="preserve"> </w:t>
      </w:r>
      <w:r>
        <w:rPr>
          <w:rFonts w:ascii="Aptos" w:hAnsi="Aptos" w:cs="Aptos"/>
        </w:rPr>
        <w:t>связей</w:t>
      </w:r>
      <w:r>
        <w:t xml:space="preserve">). </w:t>
      </w:r>
      <w:r>
        <w:rPr>
          <w:rFonts w:ascii="Aptos" w:hAnsi="Aptos" w:cs="Aptos"/>
        </w:rPr>
        <w:t>Следовательно</w:t>
      </w:r>
      <w:r>
        <w:t xml:space="preserve">, </w:t>
      </w:r>
      <w:r>
        <w:rPr>
          <w:rFonts w:ascii="Aptos" w:hAnsi="Aptos" w:cs="Aptos"/>
        </w:rPr>
        <w:t>каждое</w:t>
      </w:r>
      <w:r>
        <w:t xml:space="preserve"> </w:t>
      </w:r>
      <w:r>
        <w:rPr>
          <w:rFonts w:ascii="Aptos" w:hAnsi="Aptos" w:cs="Aptos"/>
        </w:rPr>
        <w:t>ребро</w:t>
      </w:r>
      <w:r>
        <w:t xml:space="preserve"> {i, j } - </w:t>
      </w:r>
      <w:r>
        <w:rPr>
          <w:rFonts w:ascii="Aptos" w:hAnsi="Aptos" w:cs="Aptos"/>
        </w:rPr>
        <w:t>это</w:t>
      </w:r>
      <w:r>
        <w:t xml:space="preserve"> </w:t>
      </w:r>
      <w:r>
        <w:rPr>
          <w:rFonts w:ascii="Aptos" w:hAnsi="Aptos" w:cs="Aptos"/>
        </w:rPr>
        <w:t>множество</w:t>
      </w:r>
      <w:r>
        <w:t xml:space="preserve">, </w:t>
      </w:r>
      <w:r>
        <w:rPr>
          <w:rFonts w:ascii="Aptos" w:hAnsi="Aptos" w:cs="Aptos"/>
        </w:rPr>
        <w:t>состоящее</w:t>
      </w:r>
      <w:r>
        <w:t xml:space="preserve"> </w:t>
      </w:r>
      <w:r>
        <w:rPr>
          <w:rFonts w:ascii="Aptos" w:hAnsi="Aptos" w:cs="Aptos"/>
        </w:rPr>
        <w:t>ровно</w:t>
      </w:r>
      <w:r>
        <w:t xml:space="preserve"> </w:t>
      </w:r>
      <w:r>
        <w:rPr>
          <w:rFonts w:ascii="Aptos" w:hAnsi="Aptos" w:cs="Aptos"/>
        </w:rPr>
        <w:t>из</w:t>
      </w:r>
      <w:r>
        <w:t xml:space="preserve"> </w:t>
      </w:r>
      <w:r>
        <w:rPr>
          <w:rFonts w:ascii="Aptos" w:hAnsi="Aptos" w:cs="Aptos"/>
        </w:rPr>
        <w:t>двух</w:t>
      </w:r>
      <w:r>
        <w:rPr>
          <w:rFonts w:ascii="Aptos" w:hAnsi="Aptos" w:cs="Aptos"/>
        </w:rPr>
        <w:t xml:space="preserve"> </w:t>
      </w:r>
      <w:r>
        <w:t>вершин.</w:t>
      </w:r>
    </w:p>
    <w:p w14:paraId="3DFEE9AC" w14:textId="298FE4CA" w:rsidR="00A05CA0" w:rsidRDefault="00A05CA0" w:rsidP="00A05CA0">
      <w:r>
        <w:t>Путь из v1 в vk - это последовательность (упорядоченное множество) вершин v1, v2, . . . , vk, которые</w:t>
      </w:r>
      <w:r>
        <w:t xml:space="preserve"> </w:t>
      </w:r>
      <w:r>
        <w:t xml:space="preserve">соединенных ребрами в графе: {vi, vi+1} </w:t>
      </w:r>
      <w:r>
        <w:rPr>
          <w:rFonts w:ascii="Cambria Math" w:hAnsi="Cambria Math" w:cs="Cambria Math"/>
        </w:rPr>
        <w:t>∈</w:t>
      </w:r>
      <w:r>
        <w:t xml:space="preserve"> E </w:t>
      </w:r>
      <w:r>
        <w:rPr>
          <w:rFonts w:ascii="Cambria Math" w:hAnsi="Cambria Math" w:cs="Cambria Math"/>
        </w:rPr>
        <w:t>∀</w:t>
      </w:r>
      <w:r>
        <w:t xml:space="preserve">i = 1, 2, . . . . , k - 1. </w:t>
      </w:r>
      <w:r>
        <w:rPr>
          <w:rFonts w:ascii="Aptos" w:hAnsi="Aptos" w:cs="Aptos"/>
        </w:rPr>
        <w:t>Если</w:t>
      </w:r>
      <w:r>
        <w:t xml:space="preserve"> </w:t>
      </w:r>
      <w:r>
        <w:rPr>
          <w:rFonts w:ascii="Aptos" w:hAnsi="Aptos" w:cs="Aptos"/>
        </w:rPr>
        <w:t>ни</w:t>
      </w:r>
      <w:r>
        <w:t xml:space="preserve"> </w:t>
      </w:r>
      <w:r>
        <w:rPr>
          <w:rFonts w:ascii="Aptos" w:hAnsi="Aptos" w:cs="Aptos"/>
        </w:rPr>
        <w:t>одна</w:t>
      </w:r>
      <w:r>
        <w:t xml:space="preserve"> </w:t>
      </w:r>
      <w:r>
        <w:rPr>
          <w:rFonts w:ascii="Aptos" w:hAnsi="Aptos" w:cs="Aptos"/>
        </w:rPr>
        <w:t>вершина</w:t>
      </w:r>
      <w:r>
        <w:t xml:space="preserve">, </w:t>
      </w:r>
      <w:r>
        <w:rPr>
          <w:rFonts w:ascii="Aptos" w:hAnsi="Aptos" w:cs="Aptos"/>
        </w:rPr>
        <w:t>кроме</w:t>
      </w:r>
      <w:r>
        <w:rPr>
          <w:rFonts w:ascii="Aptos" w:hAnsi="Aptos" w:cs="Aptos"/>
        </w:rPr>
        <w:t xml:space="preserve"> </w:t>
      </w:r>
      <w:r>
        <w:t>ни один узел, кроме первого и последнего, не встречается дважды в (замкнутом) пути (v1 = vk ), то он называется циклом. Соответст</w:t>
      </w:r>
      <w:r w:rsidR="001E546D">
        <w:t xml:space="preserve">венно </w:t>
      </w:r>
      <w:r>
        <w:t xml:space="preserve">это подмножество M </w:t>
      </w:r>
      <w:r>
        <w:rPr>
          <w:rFonts w:ascii="Cambria Math" w:hAnsi="Cambria Math" w:cs="Cambria Math"/>
        </w:rPr>
        <w:t>⊂</w:t>
      </w:r>
      <w:r>
        <w:t xml:space="preserve"> E </w:t>
      </w:r>
      <w:r>
        <w:rPr>
          <w:rFonts w:ascii="Aptos" w:hAnsi="Aptos" w:cs="Aptos"/>
        </w:rPr>
        <w:t>ребер</w:t>
      </w:r>
      <w:r>
        <w:t xml:space="preserve">, </w:t>
      </w:r>
      <w:r>
        <w:rPr>
          <w:rFonts w:ascii="Aptos" w:hAnsi="Aptos" w:cs="Aptos"/>
        </w:rPr>
        <w:t>такое</w:t>
      </w:r>
      <w:r>
        <w:t xml:space="preserve">, </w:t>
      </w:r>
      <w:r>
        <w:rPr>
          <w:rFonts w:ascii="Aptos" w:hAnsi="Aptos" w:cs="Aptos"/>
        </w:rPr>
        <w:t>что</w:t>
      </w:r>
      <w:r>
        <w:t xml:space="preserve"> </w:t>
      </w:r>
      <w:r>
        <w:rPr>
          <w:rFonts w:ascii="Aptos" w:hAnsi="Aptos" w:cs="Aptos"/>
        </w:rPr>
        <w:t>каждая</w:t>
      </w:r>
      <w:r>
        <w:t xml:space="preserve"> </w:t>
      </w:r>
      <w:r>
        <w:rPr>
          <w:rFonts w:ascii="Aptos" w:hAnsi="Aptos" w:cs="Aptos"/>
        </w:rPr>
        <w:t>вершина</w:t>
      </w:r>
      <w:r>
        <w:t xml:space="preserve"> </w:t>
      </w:r>
      <w:r>
        <w:rPr>
          <w:rFonts w:ascii="Aptos" w:hAnsi="Aptos" w:cs="Aptos"/>
        </w:rPr>
        <w:t>содержится</w:t>
      </w:r>
      <w:r>
        <w:t xml:space="preserve"> </w:t>
      </w:r>
      <w:r>
        <w:rPr>
          <w:rFonts w:ascii="Aptos" w:hAnsi="Aptos" w:cs="Aptos"/>
        </w:rPr>
        <w:t>не</w:t>
      </w:r>
      <w:r>
        <w:t xml:space="preserve"> </w:t>
      </w:r>
      <w:r>
        <w:rPr>
          <w:rFonts w:ascii="Aptos" w:hAnsi="Aptos" w:cs="Aptos"/>
        </w:rPr>
        <w:t>более</w:t>
      </w:r>
      <w:r>
        <w:t xml:space="preserve"> </w:t>
      </w:r>
      <w:r>
        <w:rPr>
          <w:rFonts w:ascii="Aptos" w:hAnsi="Aptos" w:cs="Aptos"/>
        </w:rPr>
        <w:t>чем</w:t>
      </w:r>
      <w:r>
        <w:t xml:space="preserve"> </w:t>
      </w:r>
      <w:r>
        <w:rPr>
          <w:rFonts w:ascii="Aptos" w:hAnsi="Aptos" w:cs="Aptos"/>
        </w:rPr>
        <w:t>в</w:t>
      </w:r>
      <w:r>
        <w:t xml:space="preserve"> </w:t>
      </w:r>
      <w:r>
        <w:rPr>
          <w:rFonts w:ascii="Aptos" w:hAnsi="Aptos" w:cs="Aptos"/>
        </w:rPr>
        <w:t>одном</w:t>
      </w:r>
      <w:r>
        <w:t xml:space="preserve"> </w:t>
      </w:r>
      <w:r>
        <w:rPr>
          <w:rFonts w:ascii="Aptos" w:hAnsi="Aptos" w:cs="Aptos"/>
        </w:rPr>
        <w:t>ребре</w:t>
      </w:r>
      <w:r>
        <w:t xml:space="preserve">. </w:t>
      </w:r>
      <w:r>
        <w:rPr>
          <w:rFonts w:ascii="Aptos" w:hAnsi="Aptos" w:cs="Aptos"/>
        </w:rPr>
        <w:t>Для</w:t>
      </w:r>
      <w:r w:rsidR="001E546D">
        <w:rPr>
          <w:rFonts w:ascii="Aptos" w:hAnsi="Aptos" w:cs="Aptos"/>
        </w:rPr>
        <w:t xml:space="preserve"> </w:t>
      </w:r>
      <w:r>
        <w:t>идеально</w:t>
      </w:r>
      <w:r w:rsidR="001E546D">
        <w:t>го</w:t>
      </w:r>
      <w:r>
        <w:t xml:space="preserve"> соответстви</w:t>
      </w:r>
      <w:r w:rsidR="001E546D">
        <w:t>я</w:t>
      </w:r>
      <w:r>
        <w:t>, каждая вершина содержится ровно в одном ребре M.</w:t>
      </w:r>
    </w:p>
    <w:p w14:paraId="1EDD4E8B" w14:textId="5485FE7B" w:rsidR="00A05CA0" w:rsidRDefault="00A05CA0" w:rsidP="00A05CA0">
      <w:r>
        <w:t>Взвешенный граф G = (V,E,ω) - это граф с весами ребер ω : E →R. Вес</w:t>
      </w:r>
      <w:r w:rsidR="001E546D">
        <w:t xml:space="preserve"> </w:t>
      </w:r>
      <w:r>
        <w:t>подмножества ребер, например, пути S или соответствия M, равен сумме весов ребер</w:t>
      </w:r>
    </w:p>
    <w:p w14:paraId="665E570C" w14:textId="3B0E9346" w:rsidR="001E546D" w:rsidRDefault="001E546D" w:rsidP="00A05CA0">
      <w:r>
        <w:rPr>
          <w:noProof/>
        </w:rPr>
        <w:drawing>
          <wp:inline distT="0" distB="0" distL="0" distR="0" wp14:anchorId="3934A71E" wp14:editId="60959EB1">
            <wp:extent cx="1231900" cy="1215835"/>
            <wp:effectExtent l="0" t="0" r="6350" b="3810"/>
            <wp:docPr id="2055679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79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4663" cy="123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1A6B" w14:textId="4470DC1B" w:rsidR="003E58DC" w:rsidRDefault="001E546D" w:rsidP="003E58DC">
      <w:r>
        <w:t>Рис. 1 Двумерное</w:t>
      </w:r>
      <w:r>
        <w:t xml:space="preserve"> </w:t>
      </w:r>
      <w:r>
        <w:t>спиновое стекло, имеющее свободные граничные</w:t>
      </w:r>
      <w:r>
        <w:t xml:space="preserve"> </w:t>
      </w:r>
      <w:r>
        <w:t>условия во всех направлениях.</w:t>
      </w:r>
      <w:r>
        <w:t xml:space="preserve"> </w:t>
      </w:r>
      <w:r>
        <w:t>Пустые кружки представляют спины.</w:t>
      </w:r>
      <w:r>
        <w:t xml:space="preserve"> </w:t>
      </w:r>
      <w:r>
        <w:t>Сплошные линии представляют</w:t>
      </w:r>
      <w:r>
        <w:t xml:space="preserve"> </w:t>
      </w:r>
      <w:r>
        <w:t>ферромагнитные связи, прерывистые</w:t>
      </w:r>
      <w:r>
        <w:t xml:space="preserve"> </w:t>
      </w:r>
      <w:r>
        <w:t>линии - антиферромагнитные связи.</w:t>
      </w:r>
      <w:r>
        <w:t xml:space="preserve"> </w:t>
      </w:r>
      <w:r>
        <w:t>Предполагается, что все спины находятся в состоянии «вверх»</w:t>
      </w:r>
      <w:r>
        <w:t xml:space="preserve"> </w:t>
      </w:r>
      <w:r>
        <w:t>σi= 1. Пунктирные линии проведены</w:t>
      </w:r>
      <w:r>
        <w:t xml:space="preserve">  </w:t>
      </w:r>
      <w:r>
        <w:t>перпендикулярно неудовлетворенным</w:t>
      </w:r>
      <w:r>
        <w:t xml:space="preserve"> </w:t>
      </w:r>
      <w:r>
        <w:t>краям, которые являются</w:t>
      </w:r>
      <w:r>
        <w:t xml:space="preserve"> </w:t>
      </w:r>
      <w:r>
        <w:t>антиферромагнитные ребра в данном</w:t>
      </w:r>
      <w:r>
        <w:t xml:space="preserve"> </w:t>
      </w:r>
      <w:r>
        <w:t>в данном случае</w:t>
      </w:r>
      <w:r w:rsidR="003E58DC">
        <w:t xml:space="preserve">, </w:t>
      </w:r>
      <w:r w:rsidR="003E58DC">
        <w:t>содержащихся в подмножестве. Следовательно, путь с минимальным весом (также называемый кратчайшим путем), соединяющий v1, vk - это путь, соединяющий v1 и vk с минимальным весом.</w:t>
      </w:r>
      <w:r w:rsidR="003E58DC">
        <w:t xml:space="preserve"> </w:t>
      </w:r>
      <w:r w:rsidR="003E58DC">
        <w:t>v1, vk - это путь, соединяющий v1 и vk, который имеет минимальный вес. Аналогично,</w:t>
      </w:r>
      <w:r w:rsidR="003E58DC">
        <w:t xml:space="preserve"> </w:t>
      </w:r>
      <w:r w:rsidR="003E58DC">
        <w:t>минимально-весовое (идеальное) соответствие - это (идеальное) соответствие с минимальным весом.</w:t>
      </w:r>
    </w:p>
    <w:p w14:paraId="22F6BD1B" w14:textId="77777777" w:rsidR="00C005C7" w:rsidRDefault="00C005C7" w:rsidP="003E58DC"/>
    <w:p w14:paraId="10D55BA3" w14:textId="0E937D51" w:rsidR="00C005C7" w:rsidRDefault="00C005C7" w:rsidP="003E58DC">
      <w:r w:rsidRPr="00C005C7">
        <w:t>2.2 Ground States</w:t>
      </w:r>
    </w:p>
    <w:p w14:paraId="7EC9E270" w14:textId="7ADFAE83" w:rsidR="00C005C7" w:rsidRDefault="00C005C7" w:rsidP="00C005C7">
      <w:r>
        <w:t>Теперь мы вернемся к плоским двумерным спиновым стеклам и покажем шаг за шагом, как</w:t>
      </w:r>
      <w:r>
        <w:t xml:space="preserve"> </w:t>
      </w:r>
      <w:r>
        <w:t>вычисление ОО из (1) может быть отображено на задачу минимального веса идеального соответствия</w:t>
      </w:r>
      <w:r w:rsidR="00C40A3C">
        <w:t xml:space="preserve"> </w:t>
      </w:r>
      <w:r>
        <w:t>[14]. Отметим, что нижеследующее объяснение дается на примере квадратной решетки, но на самом деле</w:t>
      </w:r>
      <w:r w:rsidR="00C40A3C">
        <w:t xml:space="preserve"> </w:t>
      </w:r>
      <w:r>
        <w:t xml:space="preserve">алгоритмы могут быть применены к общим планарным решеткам. </w:t>
      </w:r>
      <w:r>
        <w:lastRenderedPageBreak/>
        <w:t>Таким образом, системы с сотовыми</w:t>
      </w:r>
      <w:r w:rsidR="00C40A3C">
        <w:t xml:space="preserve"> </w:t>
      </w:r>
      <w:r>
        <w:t>или треугольными решетками могут быть рассмотрены аналогичным образом. Мы начнем с двумерной SG</w:t>
      </w:r>
      <w:r w:rsidR="00C40A3C">
        <w:t xml:space="preserve"> </w:t>
      </w:r>
      <w:r>
        <w:t>со свободными граничными условиями во всех направлениях, показанной на рис. 1.</w:t>
      </w:r>
      <w:r w:rsidR="00C40A3C">
        <w:t xml:space="preserve"> </w:t>
      </w:r>
      <w:r>
        <w:t xml:space="preserve">Мы предполагаем конфигурацию, в которой все спины направлены «вверх», т.е. σi =+1 </w:t>
      </w:r>
      <w:r>
        <w:rPr>
          <w:rFonts w:ascii="Cambria Math" w:hAnsi="Cambria Math" w:cs="Cambria Math"/>
        </w:rPr>
        <w:t>∀</w:t>
      </w:r>
      <w:r>
        <w:t xml:space="preserve">i </w:t>
      </w:r>
      <w:r>
        <w:rPr>
          <w:rFonts w:ascii="Cambria Math" w:hAnsi="Cambria Math" w:cs="Cambria Math"/>
        </w:rPr>
        <w:t>∈</w:t>
      </w:r>
      <w:r>
        <w:t xml:space="preserve"> V . </w:t>
      </w:r>
      <w:r>
        <w:rPr>
          <w:rFonts w:ascii="Aptos" w:hAnsi="Aptos" w:cs="Aptos"/>
        </w:rPr>
        <w:t>Это</w:t>
      </w:r>
      <w:r>
        <w:t xml:space="preserve"> </w:t>
      </w:r>
      <w:r>
        <w:rPr>
          <w:rFonts w:ascii="Aptos" w:hAnsi="Aptos" w:cs="Aptos"/>
        </w:rPr>
        <w:t>означает</w:t>
      </w:r>
      <w:r>
        <w:t xml:space="preserve">, </w:t>
      </w:r>
      <w:r>
        <w:rPr>
          <w:rFonts w:ascii="Aptos" w:hAnsi="Aptos" w:cs="Aptos"/>
        </w:rPr>
        <w:t>что</w:t>
      </w:r>
      <w:r w:rsidR="00C40A3C">
        <w:rPr>
          <w:rFonts w:ascii="Aptos" w:hAnsi="Aptos" w:cs="Aptos"/>
        </w:rPr>
        <w:t xml:space="preserve"> </w:t>
      </w:r>
      <w:r>
        <w:t>все ферромагнитные связи будут удовлетворены, поскольку все пары взаимодействующих спинов имеют одинаковую ориентацию</w:t>
      </w:r>
      <w:r w:rsidR="00C40A3C">
        <w:t xml:space="preserve"> </w:t>
      </w:r>
      <w:r>
        <w:t>одинаковую ориентацию. Соответственно, все антиферромагнитные связи не удовлетворяются. Пример</w:t>
      </w:r>
      <w:r w:rsidR="00C40A3C">
        <w:t xml:space="preserve"> </w:t>
      </w:r>
      <w:r>
        <w:t>реализации на рис. 1 состоит из 25 ферромагнитных связей с Jij = +J и 15</w:t>
      </w:r>
      <w:r w:rsidR="00C40A3C">
        <w:t xml:space="preserve"> </w:t>
      </w:r>
      <w:r>
        <w:t>антиферромагнитных связей с Jij = -J . Следовательно, полная энергия конфигурации составляет</w:t>
      </w:r>
      <w:r w:rsidR="00C40A3C">
        <w:t xml:space="preserve"> </w:t>
      </w:r>
      <w:r>
        <w:t>E =-25J + 15J =-10J. Теперь проведем пунктирные линии перпендикулярно всем неудовлетворенным</w:t>
      </w:r>
      <w:r w:rsidR="00C40A3C">
        <w:t xml:space="preserve"> </w:t>
      </w:r>
      <w:r>
        <w:t>связи, результат также показан на рис. 1.</w:t>
      </w:r>
    </w:p>
    <w:sectPr w:rsidR="00C00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E6"/>
    <w:rsid w:val="0001171C"/>
    <w:rsid w:val="00021596"/>
    <w:rsid w:val="000C4ED8"/>
    <w:rsid w:val="001E546D"/>
    <w:rsid w:val="002D4B79"/>
    <w:rsid w:val="0035105C"/>
    <w:rsid w:val="003E58DC"/>
    <w:rsid w:val="004A44F7"/>
    <w:rsid w:val="00586628"/>
    <w:rsid w:val="00641B65"/>
    <w:rsid w:val="00786593"/>
    <w:rsid w:val="008142E6"/>
    <w:rsid w:val="00A05CA0"/>
    <w:rsid w:val="00A74175"/>
    <w:rsid w:val="00C005C7"/>
    <w:rsid w:val="00C40A3C"/>
    <w:rsid w:val="00D44100"/>
    <w:rsid w:val="00F72672"/>
    <w:rsid w:val="00F9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14AF"/>
  <w15:chartTrackingRefBased/>
  <w15:docId w15:val="{6F24DDF6-BCD0-4BAF-9404-3FB3E1B0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4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4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4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4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4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4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4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4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4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4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42E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42E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42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42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42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42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4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4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4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4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42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42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42E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4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42E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42E6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01171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171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5</Pages>
  <Words>1678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Нефедев Константин Валентинович</dc:creator>
  <cp:keywords/>
  <dc:description/>
  <cp:lastModifiedBy>Нефедев Константин Валентинович</cp:lastModifiedBy>
  <cp:revision>9</cp:revision>
  <cp:lastPrinted>2024-10-08T08:32:00Z</cp:lastPrinted>
  <dcterms:created xsi:type="dcterms:W3CDTF">2024-10-08T08:32:00Z</dcterms:created>
  <dcterms:modified xsi:type="dcterms:W3CDTF">2024-10-09T08:26:00Z</dcterms:modified>
</cp:coreProperties>
</file>