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start w:type="dxa" w:w="400"/>
              <w:bottom w:type="dxa" w:w="400"/>
              <w:end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EB8F7"/>
                <w:sz w:val="22"/>
                <w:szCs w:val="22"/>
              </w:rPr>
              <w:t xml:space="preserve">GESTÃO DE MUDANÇA — GMUD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PRJ012 — Orquestração de Identidades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z w:val="28"/>
                <w:szCs w:val="28"/>
              </w:rPr>
              <w:t xml:space="preserve">ATO 1: Fundação Cloud IGA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color w:val="7EB8F7"/>
                <w:sz w:val="20"/>
                <w:szCs w:val="20"/>
              </w:rPr>
              <w:t xml:space="preserve">Azure App Registration + Zero Plaintext via HashiCorp Vault</w:t>
            </w:r>
          </w:p>
        </w:tc>
      </w:tr>
    </w:tbl>
    <w:p>
      <w:pPr>
        <w:spacing w:before="200" w:after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da GMUD</w:t>
            </w:r>
          </w:p>
        </w:tc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GMUD-PRJ012-ATO1</w:t>
            </w:r>
          </w:p>
        </w:tc>
      </w:tr>
      <w:tr>
        <w:tc>
          <w:tcPr>
            <w:tcW w:type="dxa" w:w="28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2E5B9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Projeto</w:t>
            </w:r>
          </w:p>
        </w:tc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PRJ012 — midPoint → Microsoft Entra ID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ATO 1 — Fundação de Conectividade Azure</w:t>
            </w:r>
          </w:p>
        </w:tc>
      </w:tr>
      <w:tr>
        <w:tc>
          <w:tcPr>
            <w:tcW w:type="dxa" w:w="28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2E5B9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06/03/2026</w:t>
            </w:r>
          </w:p>
        </w:tc>
      </w:tr>
      <w:tr>
        <w:tc>
          <w:tcPr>
            <w:tcW w:type="dxa" w:w="28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2E5B9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Janela de Execução</w:t>
            </w:r>
          </w:p>
        </w:tc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2–4 horas (sessão única)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 Técnico</w:t>
            </w:r>
          </w:p>
        </w:tc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Paulo Feitosa Lima — GRC Lead / Especialista IAM</w:t>
            </w:r>
          </w:p>
        </w:tc>
      </w:tr>
      <w:tr>
        <w:tc>
          <w:tcPr>
            <w:tcW w:type="dxa" w:w="28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2E5B9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Living Lab Fiqueok — Tenant fiqueok.com.br (Tier Free)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Confidencial Interno</w:t>
            </w:r>
          </w:p>
        </w:tc>
      </w:tr>
      <w:tr>
        <w:tc>
          <w:tcPr>
            <w:tcW w:type="dxa" w:w="28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2E5B9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PRJ011 CONCLUÍDO (100 usuários + 10 grupos GRP_* no Entra ID)</w:t>
            </w:r>
          </w:p>
        </w:tc>
      </w:tr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 TAP</w:t>
            </w:r>
          </w:p>
        </w:tc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TAP-PRJ012 v1.1 — Seção 6, ATO 1</w:t>
            </w:r>
          </w:p>
        </w:tc>
      </w:tr>
    </w:tbl>
    <w:p>
      <w:pPr>
        <w:spacing w:before="300" w:after="0"/>
      </w:pPr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Objetivo da Mudança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Esta GMUD documenta a execução do ATO 1 do PRJ012: criação do Azure App Registration (Service Principal) que concederá ao midPoint uma identidade de máquina autônoma para gerenciar o ciclo JML dos 100 usuários do tenant fiqueok.com.br, sem depender de sessões interativas da conta pessoal do administrador.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Adicionalmente, esta fase configura a integração Zero Plaintext com o HashiCorp Vault (PRJ007), garantindo que nenhuma credencial seja armazenada em texto plano no midPoint ou em arquivos de configuração.</w:t>
      </w:r>
    </w:p>
    <w:p>
      <w:pPr>
        <w:pBdr>
          <w:bottom w:val="single" w:color="2196F3" w:sz="4"/>
        </w:pBdr>
        <w:spacing w:before="160" w:after="1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Escopo da Mudança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Incluído neste ATO: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Criação do App Registration midpoint-iga-connector no Microsoft Entra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Atribuição das permissões de API: User.ReadWrite.All, Group.ReadWrite.All, Directory.Read.All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Aplicação de consentimento administrativo (Grant admin consent)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Geração do Client Secret com validade de 12 meses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Armazenamento seguro das credenciais no HashiCorp Vault (PRJ007)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Configuração do External Secret Store no midPoint (Zero Plaintext)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Coleta dos identificadores de auditoria (Client ID, Tenant ID, Object 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Execução do Sanity Check expandido via PowerShell com geração de evidência JSON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Excluído deste ATO: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Configuração do conector no midPoint (ATO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Qualquer operação de escrita sobre os usuários FP001–FP100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Modificações em políticas de Conditional Access ou PIM</w:t>
      </w:r>
    </w:p>
    <w:p>
      <w:pPr>
        <w:pBdr>
          <w:bottom w:val="single" w:color="2196F3" w:sz="4"/>
        </w:pBdr>
        <w:spacing w:before="160" w:after="1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Análise de Risco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60"/>
        <w:gridCol w:w="1400"/>
        <w:gridCol w:w="1200"/>
        <w:gridCol w:w="2600"/>
      </w:tblGrid>
      <w:tr>
        <w:tc>
          <w:tcPr>
            <w:tcW w:type="dxa" w:w="7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4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R01</w:t>
            </w:r>
          </w:p>
        </w:tc>
        <w:tc>
          <w:tcPr>
            <w:tcW w:type="dxa" w:w="34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Secret expirado antes do fim do PRJ012</w:t>
            </w:r>
          </w:p>
        </w:tc>
        <w:tc>
          <w:tcPr>
            <w:tcW w:type="dxa" w:w="14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Baixa</w:t>
            </w:r>
          </w:p>
        </w:tc>
        <w:tc>
          <w:tcPr>
            <w:tcW w:type="dxa" w:w="1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Alto</w:t>
            </w:r>
          </w:p>
        </w:tc>
        <w:tc>
          <w:tcPr>
            <w:tcW w:type="dxa" w:w="2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Validade 12 meses + alerta registrado no Logs_Execucao.md</w:t>
            </w:r>
          </w:p>
        </w:tc>
      </w:tr>
      <w:tr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R02</w:t>
            </w:r>
          </w:p>
        </w:tc>
        <w:tc>
          <w:tcPr>
            <w:tcW w:type="dxa" w:w="34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Exposição do Client Secret (plaintext em config)</w:t>
            </w:r>
          </w:p>
        </w:tc>
        <w:tc>
          <w:tcPr>
            <w:tcW w:type="dxa" w:w="14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Crítico</w:t>
            </w:r>
          </w:p>
        </w:tc>
        <w:tc>
          <w:tcPr>
            <w:tcW w:type="dxa" w:w="2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External Secret Store: midPoint lê via Vault API — Zero Plaintext</w:t>
            </w:r>
          </w:p>
        </w:tc>
      </w:tr>
      <w:tr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R03</w:t>
            </w:r>
          </w:p>
        </w:tc>
        <w:tc>
          <w:tcPr>
            <w:tcW w:type="dxa" w:w="34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Consentimento administrativo não aplicado → erro 403</w:t>
            </w:r>
          </w:p>
        </w:tc>
        <w:tc>
          <w:tcPr>
            <w:tcW w:type="dxa" w:w="14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Alto</w:t>
            </w:r>
          </w:p>
        </w:tc>
        <w:tc>
          <w:tcPr>
            <w:tcW w:type="dxa" w:w="2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Checklist de validação pós-criação confirma Grant admin consent</w:t>
            </w:r>
          </w:p>
        </w:tc>
      </w:tr>
      <w:tr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R04</w:t>
            </w:r>
          </w:p>
        </w:tc>
        <w:tc>
          <w:tcPr>
            <w:tcW w:type="dxa" w:w="34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Token vazio retornado pelo endpoint OAuth2 (falha silenciosa)</w:t>
            </w:r>
          </w:p>
        </w:tc>
        <w:tc>
          <w:tcPr>
            <w:tcW w:type="dxa" w:w="14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Baixa</w:t>
            </w:r>
          </w:p>
        </w:tc>
        <w:tc>
          <w:tcPr>
            <w:tcW w:type="dxa" w:w="1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Médio</w:t>
            </w:r>
          </w:p>
        </w:tc>
        <w:tc>
          <w:tcPr>
            <w:tcW w:type="dxa" w:w="2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Sanity Check valida access_token.Length &gt; 0 antes de prosseguir</w:t>
            </w:r>
          </w:p>
        </w:tc>
      </w:tr>
      <w:tr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R05</w:t>
            </w:r>
          </w:p>
        </w:tc>
        <w:tc>
          <w:tcPr>
            <w:tcW w:type="dxa" w:w="34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Redirect URI não documentado gera dúvida em revisão futura</w:t>
            </w:r>
          </w:p>
        </w:tc>
        <w:tc>
          <w:tcPr>
            <w:tcW w:type="dxa" w:w="14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Baixa</w:t>
            </w:r>
          </w:p>
        </w:tc>
        <w:tc>
          <w:tcPr>
            <w:tcW w:type="dxa" w:w="1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Baixo</w:t>
            </w:r>
          </w:p>
        </w:tc>
        <w:tc>
          <w:tcPr>
            <w:tcW w:type="dxa" w:w="2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Registrar explicitamente 'Redirect URI: vazio (não aplicável ao fluxo Client Credentials)'</w:t>
            </w:r>
          </w:p>
        </w:tc>
      </w:tr>
    </w:tbl>
    <w:p>
      <w:pPr>
        <w:pBdr>
          <w:bottom w:val="single" w:color="2196F3" w:sz="4"/>
        </w:pBdr>
        <w:spacing w:before="160" w:after="1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Roteiro de Execução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4.1  Registro do Aplicativo (Identidade de Máquina)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5060"/>
        <w:gridCol w:w="3000"/>
      </w:tblGrid>
      <w:tr>
        <w:tc>
          <w:tcPr>
            <w:tcW w:type="dxa" w:w="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3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 / GRC</w:t>
            </w:r>
          </w:p>
        </w:tc>
      </w:tr>
      <w:tr>
        <w:tc>
          <w:tcPr>
            <w:tcW w:type="dxa" w:w="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50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Azure Portal → Microsoft Entra ID → App registrations → + New registration</w:t>
            </w:r>
          </w:p>
        </w:tc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Acesso via conta nativa .onmicrosoft.com (lição L01 — PRJ011)</w:t>
            </w:r>
          </w:p>
        </w:tc>
      </w:tr>
      <w:tr>
        <w:tc>
          <w:tcPr>
            <w:tcW w:type="dxa" w:w="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50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Nome: midpoint-iga-connector</w:t>
            </w:r>
          </w:p>
        </w:tc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Nome padrão definido no TAP-PRJ012 v1.1</w:t>
            </w:r>
          </w:p>
        </w:tc>
      </w:tr>
      <w:tr>
        <w:tc>
          <w:tcPr>
            <w:tcW w:type="dxa" w:w="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50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Tipo de conta: Accounts in this organizational directory only (Fiqueok only — Single tenant)</w:t>
            </w:r>
          </w:p>
        </w:tc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Single tenant: apenas o tenant fiqueok.com.br terá acesso</w:t>
            </w:r>
          </w:p>
        </w:tc>
      </w:tr>
      <w:tr>
        <w:tc>
          <w:tcPr>
            <w:tcW w:type="dxa" w:w="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50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Redirect URI: deixar em branco</w:t>
            </w:r>
          </w:p>
        </w:tc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Fluxo Client Credentials não utiliza Redirect URI. Registrar ausência para auditoria.</w:t>
            </w:r>
          </w:p>
        </w:tc>
      </w:tr>
      <w:tr>
        <w:tc>
          <w:tcPr>
            <w:tcW w:type="dxa" w:w="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50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Clicar em Register e aguardar criação do App</w:t>
            </w:r>
          </w:p>
        </w:tc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Coletar Application (client) ID e Object ID na tela Overview</w:t>
            </w:r>
          </w:p>
        </w:tc>
      </w:tr>
    </w:tbl>
    <w:p>
      <w:pPr>
        <w:spacing w:before="200" w:after="80"/>
      </w:pPr>
      <w:r>
        <w:t xml:space="preserve"> </w:t>
      </w:r>
    </w:p>
    <w:p>
      <w:pPr>
        <w:pStyle w:val="Heading2"/>
        <w:spacing w:before="80" w:after="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4.2  Atribuição de Permissões (Princípio do Menor Privilégio)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start w:type="dxa" w:w="150"/>
              <w:bottom w:type="dxa" w:w="10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 GRC</w:t>
            </w:r>
          </w:p>
        </w:tc>
        <w:tc>
          <w:tcPr>
            <w:tcW w:type="dxa" w:w="8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start w:type="dxa" w:w="200"/>
              <w:bottom w:type="dxa" w:w="100"/>
              <w:end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Sem o Grant admin consent, todas as chamadas à Graph API retornarão HTTP 403 Forbidden. Este passo é obrigatório antes de qualquer teste.</w:t>
            </w:r>
          </w:p>
        </w:tc>
      </w:tr>
    </w:tbl>
    <w:p>
      <w:pPr>
        <w:spacing w:before="120" w:after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5060"/>
        <w:gridCol w:w="3000"/>
      </w:tblGrid>
      <w:tr>
        <w:tc>
          <w:tcPr>
            <w:tcW w:type="dxa" w:w="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3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 IAM</w:t>
            </w:r>
          </w:p>
        </w:tc>
      </w:tr>
      <w:tr>
        <w:tc>
          <w:tcPr>
            <w:tcW w:type="dxa" w:w="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50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menu do App: API permissions → + Add a permission → Microsoft Graph → Application permissions</w:t>
            </w:r>
          </w:p>
        </w:tc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Tipo Application (não Delegated): opera sem usuário interativo</w:t>
            </w:r>
          </w:p>
        </w:tc>
      </w:tr>
      <w:tr>
        <w:tc>
          <w:tcPr>
            <w:tcW w:type="dxa" w:w="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50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Adicionar: User.ReadWrite.All</w:t>
            </w:r>
          </w:p>
        </w:tc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Ciclo JML: criação, atualização e desabilitação de contas FP001–FP100</w:t>
            </w:r>
          </w:p>
        </w:tc>
      </w:tr>
      <w:tr>
        <w:tc>
          <w:tcPr>
            <w:tcW w:type="dxa" w:w="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50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Adicionar: Group.ReadWrite.All</w:t>
            </w:r>
          </w:p>
        </w:tc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Gestão de membros nos grupos GRP_* (RBAC por Department)</w:t>
            </w:r>
          </w:p>
        </w:tc>
      </w:tr>
      <w:tr>
        <w:tc>
          <w:tcPr>
            <w:tcW w:type="dxa" w:w="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50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Adicionar: Directory.Read.All</w:t>
            </w:r>
          </w:p>
        </w:tc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Leitura de metadados e correlação de identidades (âncora EmployeeID)</w:t>
            </w:r>
          </w:p>
        </w:tc>
      </w:tr>
      <w:tr>
        <w:tc>
          <w:tcPr>
            <w:tcW w:type="dxa" w:w="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50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Clicar em 'Grant admin consent for Fiqueok' e confirmar</w:t>
            </w:r>
          </w:p>
        </w:tc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OBRIGATÓRIO — sem este passo o ATO 1 está incompleto</w:t>
            </w:r>
          </w:p>
        </w:tc>
      </w:tr>
      <w:tr>
        <w:tc>
          <w:tcPr>
            <w:tcW w:type="dxa" w:w="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50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Confirmar que as 3 permissões mostram status 'Granted for Fiqueok' (ícone verde)</w:t>
            </w:r>
          </w:p>
        </w:tc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Evidência: screenshot da tela API permissions com 3 permissões verdes</w:t>
            </w:r>
          </w:p>
        </w:tc>
      </w:tr>
    </w:tbl>
    <w:p>
      <w:pPr>
        <w:spacing w:before="200" w:after="80"/>
      </w:pPr>
      <w:r>
        <w:t xml:space="preserve"> </w:t>
      </w:r>
    </w:p>
    <w:p>
      <w:pPr>
        <w:pStyle w:val="Heading2"/>
        <w:spacing w:before="80" w:after="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4.3  Geração e Armazenamento do Client Secret (Zero Plaintext)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start w:type="dxa" w:w="150"/>
              <w:bottom w:type="dxa" w:w="10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🔐 SEC</w:t>
            </w:r>
          </w:p>
        </w:tc>
        <w:tc>
          <w:tcPr>
            <w:tcW w:type="dxa" w:w="8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00"/>
              <w:start w:type="dxa" w:w="200"/>
              <w:bottom w:type="dxa" w:w="100"/>
              <w:end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valor do Client Secret é exibido UMA ÚNICA VEZ. Após sair da tela, é impossível recuperá-lo. Copie imediatamente para o Vault antes de navegar.</w:t>
            </w:r>
          </w:p>
        </w:tc>
      </w:tr>
    </w:tbl>
    <w:p>
      <w:pPr>
        <w:spacing w:before="120" w:after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5060"/>
        <w:gridCol w:w="3000"/>
      </w:tblGrid>
      <w:tr>
        <w:tc>
          <w:tcPr>
            <w:tcW w:type="dxa" w:w="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3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 de Segurança</w:t>
            </w:r>
          </w:p>
        </w:tc>
      </w:tr>
      <w:tr>
        <w:tc>
          <w:tcPr>
            <w:tcW w:type="dxa" w:w="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50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Certificates &amp; secrets → Client secrets → + New client secret</w:t>
            </w:r>
          </w:p>
        </w:tc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Acesso restrito ao GRC Lead (Paulo Lima)</w:t>
            </w:r>
          </w:p>
        </w:tc>
      </w:tr>
      <w:tr>
        <w:tc>
          <w:tcPr>
            <w:tcW w:type="dxa" w:w="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50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Descrição: midPoint Connector Key - PRJ012</w:t>
            </w:r>
          </w:p>
        </w:tc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Nomenclatura padronizada para rastreabilidade em auditoria</w:t>
            </w:r>
          </w:p>
        </w:tc>
      </w:tr>
      <w:tr>
        <w:tc>
          <w:tcPr>
            <w:tcW w:type="dxa" w:w="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50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Expiração: 12 meses</w:t>
            </w:r>
          </w:p>
        </w:tc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Mitigação R01: registrar data de expiração no Logs_Execucao.md</w:t>
            </w:r>
          </w:p>
        </w:tc>
      </w:tr>
      <w:tr>
        <w:tc>
          <w:tcPr>
            <w:tcW w:type="dxa" w:w="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50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COPIAR o valor da coluna Value imediatamente após a criação</w:t>
            </w:r>
          </w:p>
        </w:tc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Valor visível apenas neste momento. Não fechar a aba antes de copiar.</w:t>
            </w:r>
          </w:p>
        </w:tc>
      </w:tr>
      <w:tr>
        <w:tc>
          <w:tcPr>
            <w:tcW w:type="dxa" w:w="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50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Armazenar no HashiCorp Vault: path secret/prj012/entra-connector</w:t>
            </w:r>
          </w:p>
        </w:tc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PRJ007 — IP Tailscale: 100.104.22.70. Zero Plaintext: nenhuma credencial em texto nos arquivos midPoint.</w:t>
            </w:r>
          </w:p>
        </w:tc>
      </w:tr>
      <w:tr>
        <w:tc>
          <w:tcPr>
            <w:tcW w:type="dxa" w:w="6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</w:t>
            </w:r>
          </w:p>
        </w:tc>
        <w:tc>
          <w:tcPr>
            <w:tcW w:type="dxa" w:w="50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midPoint: configurar External Secret Store apontando para o Vault API (endpoint: 100.104.22.70)</w:t>
            </w:r>
          </w:p>
        </w:tc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midPoint lê Client Secret e senha MariaDB dinamicamente via Vault — padrão Zero Plaintext (TAP v1.1 Gap 2)</w:t>
            </w:r>
          </w:p>
        </w:tc>
      </w:tr>
    </w:tbl>
    <w:p>
      <w:pPr>
        <w:spacing w:before="200" w:after="80"/>
      </w:pPr>
      <w:r>
        <w:t xml:space="preserve"> </w:t>
      </w:r>
    </w:p>
    <w:p>
      <w:pPr>
        <w:pStyle w:val="Heading2"/>
        <w:spacing w:before="80" w:after="80"/>
      </w:pPr>
      <w:r>
        <w:rPr>
          <w:rFonts w:ascii="Arial" w:cs="Arial" w:eastAsia="Arial" w:hAnsi="Arial"/>
          <w:b/>
          <w:bCs/>
          <w:color w:val="2E5B9A"/>
          <w:sz w:val="24"/>
          <w:szCs w:val="24"/>
        </w:rPr>
        <w:t xml:space="preserve">4.4  Coleta de Identificadores de Auditoria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Coletar os seguintes identificadores no Overview do App Registration e registrar no Logs_Execucao.md. Além dos valores, registrar o timestamp da coleta e o responsável — recomendação da segunda opinião técnica para máxima rastreabilidade.</w:t>
      </w:r>
    </w:p>
    <w:p>
      <w:pPr>
        <w:spacing w:before="8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4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(preencher após criação)</w:t>
            </w:r>
          </w:p>
        </w:tc>
        <w:tc>
          <w:tcPr>
            <w:tcW w:type="dxa" w:w="21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</w:tr>
      <w:tr>
        <w:tc>
          <w:tcPr>
            <w:tcW w:type="dxa" w:w="3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Application (client) ID</w:t>
            </w:r>
          </w:p>
        </w:tc>
        <w:tc>
          <w:tcPr>
            <w:tcW w:type="dxa" w:w="4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[Disponível no Overview do App]</w:t>
            </w:r>
          </w:p>
        </w:tc>
        <w:tc>
          <w:tcPr>
            <w:tcW w:type="dxa" w:w="21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midPoint Resource</w:t>
            </w:r>
          </w:p>
        </w:tc>
      </w:tr>
      <w:tr>
        <w:tc>
          <w:tcPr>
            <w:tcW w:type="dxa" w:w="3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Directory (tenant) ID</w:t>
            </w:r>
          </w:p>
        </w:tc>
        <w:tc>
          <w:tcPr>
            <w:tcW w:type="dxa" w:w="4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503bbd0e-f33f-4ebe-b12e-f24a506978c9</w:t>
            </w:r>
          </w:p>
        </w:tc>
        <w:tc>
          <w:tcPr>
            <w:tcW w:type="dxa" w:w="21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midPoint Resource</w:t>
            </w:r>
          </w:p>
        </w:tc>
      </w:tr>
      <w:tr>
        <w:tc>
          <w:tcPr>
            <w:tcW w:type="dxa" w:w="3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Secret Value</w:t>
            </w:r>
          </w:p>
        </w:tc>
        <w:tc>
          <w:tcPr>
            <w:tcW w:type="dxa" w:w="4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[Armazenado no Vault — path: secret/prj012/entra-connector]</w:t>
            </w:r>
          </w:p>
        </w:tc>
        <w:tc>
          <w:tcPr>
            <w:tcW w:type="dxa" w:w="21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Vault → midPoint</w:t>
            </w:r>
          </w:p>
        </w:tc>
      </w:tr>
      <w:tr>
        <w:tc>
          <w:tcPr>
            <w:tcW w:type="dxa" w:w="3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 Object ID</w:t>
            </w:r>
          </w:p>
        </w:tc>
        <w:tc>
          <w:tcPr>
            <w:tcW w:type="dxa" w:w="4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[Disponível no Overview do App]</w:t>
            </w:r>
          </w:p>
        </w:tc>
        <w:tc>
          <w:tcPr>
            <w:tcW w:type="dxa" w:w="21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Auditoria / Logs</w:t>
            </w:r>
          </w:p>
        </w:tc>
      </w:tr>
      <w:tr>
        <w:tc>
          <w:tcPr>
            <w:tcW w:type="dxa" w:w="3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Timestamp de Criação</w:t>
            </w:r>
          </w:p>
        </w:tc>
        <w:tc>
          <w:tcPr>
            <w:tcW w:type="dxa" w:w="4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[Registrar data/hora da execução]</w:t>
            </w:r>
          </w:p>
        </w:tc>
        <w:tc>
          <w:tcPr>
            <w:tcW w:type="dxa" w:w="21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Logs_Execucao.md</w:t>
            </w:r>
          </w:p>
        </w:tc>
      </w:tr>
      <w:tr>
        <w:tc>
          <w:tcPr>
            <w:tcW w:type="dxa" w:w="3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Responsável pela Execução</w:t>
            </w:r>
          </w:p>
        </w:tc>
        <w:tc>
          <w:tcPr>
            <w:tcW w:type="dxa" w:w="4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Paulo Feitosa Lima — GRC Lead</w:t>
            </w:r>
          </w:p>
        </w:tc>
        <w:tc>
          <w:tcPr>
            <w:tcW w:type="dxa" w:w="21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Logs_Execucao.md</w:t>
            </w:r>
          </w:p>
        </w:tc>
      </w:tr>
      <w:tr>
        <w:tc>
          <w:tcPr>
            <w:tcW w:type="dxa" w:w="32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de Expiração do Secret</w:t>
            </w:r>
          </w:p>
        </w:tc>
        <w:tc>
          <w:tcPr>
            <w:tcW w:type="dxa" w:w="4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[Calcular: data criação + 12 meses]</w:t>
            </w:r>
          </w:p>
        </w:tc>
        <w:tc>
          <w:tcPr>
            <w:tcW w:type="dxa" w:w="21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Alerta R01</w:t>
            </w:r>
          </w:p>
        </w:tc>
      </w:tr>
    </w:tbl>
    <w:p>
      <w:pPr>
        <w:spacing w:before="300" w:after="0"/>
      </w:pPr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Sanity Check — Validação Expandida (Pré-ATO 2)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Executar o script abaixo via PowerShell com conta nativa .onmicrosoft.com (lição L01 — PRJ011). O script valida o token OAuth2, leitura de usuários e grupos, e gera um arquivo JSON de evidência auditável. Inspecionar o access_token.Length para garantir que o token não retornou vazio (recomendação da análise técnica).</w:t>
      </w:r>
    </w:p>
    <w:p>
      <w:pPr>
        <w:spacing w:before="100" w:after="40"/>
      </w:pPr>
      <w:r>
        <w:t xml:space="preserve"> </w:t>
      </w:r>
    </w:p>
    <w:p>
      <w:pPr>
        <w:spacing w:before="100" w:after="0"/>
      </w:pPr>
      <w:r>
        <w:t xml:space="preserve"> 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# PRJ012 - ATO 1 | Sanity Check Expandido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# Substituir SEU_CLIENT_ID e SEU_CLIENT_SECRET pelos valores do Vault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$ClientId     = 'SEU_CLIENT_ID'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$ClientSecret = 'SEU_CLIENT_SECRET'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$TenantId     = '503bbd0e-f33f-4ebe-b12e-f24a506978c9'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# 1. Obter Token OAuth2 (Client Credentials)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$Body = @{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client_id     = $ClientId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client_secret = $ClientSecret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scope         = 'https://graph.microsoft.com/.default'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grant_type    = 'client_credentials'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}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$TokenRequest = Invoke-RestMethod -Method Post \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-Uri 'https://login.microsoftonline.com/$TenantId/oauth2/v2.0/token' \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-Body $Body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$AccessToken = $TokenRequest.access_token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# 2. Validar token (incluindo inspeção de comprimento)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if ($AccessToken -and $AccessToken.Length -gt 100) {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Write-Host '  Token gerado com sucesso!' -ForegroundColor Green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Write-Host "  Tamanho do token: $($AccessToken.Length) chars" -ForegroundColor Cyan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} else {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Write-Host '  Falha ao gerar token ou token vazio.' -ForegroundColor Red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exit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}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# 3. Testar leitura de usuários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$Users = Invoke-RestMethod -Method Get \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-Uri 'https://graph.microsoft.com/v1.0/users' \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-Headers @{ Authorization = "Bearer $AccessToken" }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Write-Host "  Usuarios retornados: $($Users.value.Count)" -ForegroundColor Cyan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# 4. Testar leitura de grupos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$Groups = Invoke-RestMethod -Method Get \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-Uri 'https://graph.microsoft.com/v1.0/groups' \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-Headers @{ Authorization = "Bearer $AccessToken" }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Write-Host "  Grupos retornados: $($Groups.value.Count)" -ForegroundColor Cyan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# 5. Gerar evidência auditável em JSON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$LogPath = 'C:\Logs\PRJ012_ATO1_Validation.json'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New-Item -Path (Split-Path $LogPath) -ItemType Directory -Force | Out-Null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$Output = @{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Timestamp      = (Get-Date -Format 'yyyy-MM-dd HH:mm:ss')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Responsavel    = 'Paulo Feitosa Lima'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ClientId       = $ClientId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TenantId       = $TenantId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TokenLength    = $AccessToken.Length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UsersCount     = $Users.value.Count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GroupsCount    = $Groups.value.Count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    SanityCheckOK  = ($Users.value.Count -eq 100 -and $Groups.value.Count -ge 10)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}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$Output | ConvertTo-Json | Out-File $LogPath -Encoding UTF8</w:t>
      </w:r>
    </w:p>
    <w:p>
      <w:pPr>
        <w:pBdr>
          <w:top w:val="single" w:color="2196F3" w:sz="1"/>
          <w:bottom w:val="single" w:color="2196F3" w:sz="1"/>
          <w:left w:val="single" w:color="2196F3" w:sz="8"/>
          <w:right w:val="single" w:color="2196F3" w:sz="1"/>
        </w:pBdr>
        <w:shd w:fill="1E1E2E" w:val="clear"/>
        <w:spacing w:before="0" w:after="0"/>
      </w:pPr>
      <w:r>
        <w:rPr>
          <w:rFonts w:ascii="Courier New" w:cs="Courier New" w:eastAsia="Courier New" w:hAnsi="Courier New"/>
          <w:color w:val="A8E6CF"/>
          <w:sz w:val="16"/>
          <w:szCs w:val="16"/>
        </w:rPr>
        <w:t xml:space="preserve">Write-Host "  Evidencia salva em $LogPath" -ForegroundColor Yellow</w:t>
      </w:r>
    </w:p>
    <w:p>
      <w:pPr>
        <w:spacing w:before="0" w:after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start w:type="dxa" w:w="150"/>
              <w:bottom w:type="dxa" w:w="10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GATE</w:t>
            </w:r>
          </w:p>
        </w:tc>
        <w:tc>
          <w:tcPr>
            <w:tcW w:type="dxa" w:w="8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start w:type="dxa" w:w="200"/>
              <w:bottom w:type="dxa" w:w="100"/>
              <w:end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Sanity Check só é considerado aprovado quando: UsersCount = 100, GroupsCount ≥ 10, TokenLength &gt; 100 e SanityCheckOK = True. Estes valores confirmam que as 3 permissões foram concedidas corretamente.</w:t>
            </w:r>
          </w:p>
        </w:tc>
      </w:tr>
    </w:tbl>
    <w:p>
      <w:pPr>
        <w:pBdr>
          <w:bottom w:val="single" w:color="2196F3" w:sz="4"/>
        </w:pBdr>
        <w:spacing w:before="160" w:after="1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Checklist de Encerramento do ATO 1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Todos os itens abaixo devem estar confirmados antes de avançar para o ATO 2 (Configuração do Resource no midPoint):</w:t>
      </w:r>
    </w:p>
    <w:p>
      <w:pPr>
        <w:spacing w:before="80" w:after="6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App Registration criado com nome correto: midpoint-iga-connector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Tipo de conta: Single tenant (Fiqueok only) — Redirect URI: vazio (documentado)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Permissão User.ReadWrite.All atribuída (tipo Application) com status Granted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Permissão Group.ReadWrite.All atribuída (tipo Application) com status Granted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Permissão Directory.Read.All atribuída (tipo Application) com status Granted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Grant admin consent aplicado — 3 permissões com ícone verde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Client Secret gerado (desc: midPoint Connector Key - PRJ012, expiração: 12 meses)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Client Secret armazenado no Vault: path secret/prj012/entra-connector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External Secret Store configurado no midPoint (Zero Plaintext validado)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Identificadores coletados: Client ID, Tenant ID, Object ID, Timestamp, Expiração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Identificadores registrados no Logs_Execucao.md com timestamp e responsável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Sanity Check executado: UsersCount = 100, GroupsCount ≥ 10, TokenLength &gt; 100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Arquivo JSON de evidência salvo: C:\Logs\PRJ012_ATO1_Validation.json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Screenshot da tela API permissions (3 permissões verdes) arquivado</w:t>
      </w:r>
    </w:p>
    <w:p>
      <w:pPr>
        <w:pBdr>
          <w:bottom w:val="single" w:color="2196F3" w:sz="4"/>
        </w:pBdr>
        <w:spacing w:before="160" w:after="1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Plano de Rollback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O ATO 1 é uma operação de criação de recursos — não modifica os 100 usuários ou grupos existentes no Entra ID. O rollback é simples e não destrutivo:</w:t>
      </w:r>
    </w:p>
    <w:p>
      <w:pPr>
        <w:spacing w:before="8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W w:type="dxa" w:w="7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35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51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de Rollback</w:t>
            </w:r>
          </w:p>
        </w:tc>
      </w:tr>
      <w:tr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</w:t>
            </w:r>
          </w:p>
        </w:tc>
        <w:tc>
          <w:tcPr>
            <w:tcW w:type="dxa" w:w="35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Secret exposto ou comprometido</w:t>
            </w:r>
          </w:p>
        </w:tc>
        <w:tc>
          <w:tcPr>
            <w:tcW w:type="dxa" w:w="51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Revogar o Secret no portal (Certificates &amp; secrets → Delete) e gerar novo. Atualizar Vault. Nenhum usuário impactado.</w:t>
            </w:r>
          </w:p>
        </w:tc>
      </w:tr>
      <w:tr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</w:t>
            </w:r>
          </w:p>
        </w:tc>
        <w:tc>
          <w:tcPr>
            <w:tcW w:type="dxa" w:w="35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 Registration criado com permissões erradas</w:t>
            </w:r>
          </w:p>
        </w:tc>
        <w:tc>
          <w:tcPr>
            <w:tcW w:type="dxa" w:w="51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Remover permissões incorretas e adicionar as corretas. Re-executar Grant admin consent. Sanity Check novamente.</w:t>
            </w:r>
          </w:p>
        </w:tc>
      </w:tr>
      <w:tr>
        <w:tc>
          <w:tcPr>
            <w:tcW w:type="dxa" w:w="7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</w:t>
            </w:r>
          </w:p>
        </w:tc>
        <w:tc>
          <w:tcPr>
            <w:tcW w:type="dxa" w:w="35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 Registration criado com nome errado ou configuração totalmente incorreta</w:t>
            </w:r>
          </w:p>
        </w:tc>
        <w:tc>
          <w:tcPr>
            <w:tcW w:type="dxa" w:w="51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Deletar o App Registration no portal (App registrations → Delete). Recriar do zero seguindo esta GMUD.</w:t>
            </w:r>
          </w:p>
        </w:tc>
      </w:tr>
    </w:tbl>
    <w:p>
      <w:pPr>
        <w:spacing w:before="12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5B9A" w:sz="1"/>
              <w:left w:val="single" w:color="2E5B9A" w:sz="1"/>
              <w:bottom w:val="single" w:color="2E5B9A" w:sz="1"/>
              <w:right w:val="single" w:color="2E5B9A" w:sz="1"/>
            </w:tcBorders>
            <w:shd w:fill="2E5B9A" w:val="clear"/>
            <w:tcMar>
              <w:top w:type="dxa" w:w="100"/>
              <w:start w:type="dxa" w:w="150"/>
              <w:bottom w:type="dxa" w:w="10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ℹ INFO</w:t>
            </w:r>
          </w:p>
        </w:tc>
        <w:tc>
          <w:tcPr>
            <w:tcW w:type="dxa" w:w="8360"/>
            <w:tcBorders>
              <w:top w:val="single" w:color="2E5B9A" w:sz="1"/>
              <w:left w:val="single" w:color="2E5B9A" w:sz="1"/>
              <w:bottom w:val="single" w:color="2E5B9A" w:sz="1"/>
              <w:right w:val="single" w:color="2E5B9A" w:sz="1"/>
            </w:tcBorders>
            <w:shd w:fill="EBF2FA" w:val="clear"/>
            <w:tcMar>
              <w:top w:type="dxa" w:w="100"/>
              <w:start w:type="dxa" w:w="200"/>
              <w:bottom w:type="dxa" w:w="100"/>
              <w:end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ATO 1 não realiza nenhuma escrita nos 100 usuários FP001–FP100. Em caso de falha total, basta deletar o App Registration — o diretório Entra ID permanece intacto.</w:t>
            </w:r>
          </w:p>
        </w:tc>
      </w:tr>
    </w:tbl>
    <w:p>
      <w:pPr>
        <w:pBdr>
          <w:bottom w:val="single" w:color="2196F3" w:sz="4"/>
        </w:pBdr>
        <w:spacing w:before="160" w:after="1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Critérios de Saída — Gate para ATO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 Registration midpoint-iga-connector existente e ativo no tenant</w:t>
            </w:r>
          </w:p>
        </w:tc>
        <w:tc>
          <w:tcPr>
            <w:tcW w:type="dxa" w:w="28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 OK / [ ] PEND</w:t>
            </w:r>
          </w:p>
        </w:tc>
      </w:tr>
      <w:tr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permissões com consentimento administrativo concedido (status verde)</w:t>
            </w:r>
          </w:p>
        </w:tc>
        <w:tc>
          <w:tcPr>
            <w:tcW w:type="dxa" w:w="28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 OK / [ ] PEND</w:t>
            </w:r>
          </w:p>
        </w:tc>
      </w:tr>
      <w:tr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Secret armazenado no Vault (Zero Plaintext confirmado)</w:t>
            </w:r>
          </w:p>
        </w:tc>
        <w:tc>
          <w:tcPr>
            <w:tcW w:type="dxa" w:w="28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 OK / [ ] PEND</w:t>
            </w:r>
          </w:p>
        </w:tc>
      </w:tr>
      <w:tr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External Secret Store configurado no midPoint</w:t>
            </w:r>
          </w:p>
        </w:tc>
        <w:tc>
          <w:tcPr>
            <w:tcW w:type="dxa" w:w="28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 OK / [ ] PEND</w:t>
            </w:r>
          </w:p>
        </w:tc>
      </w:tr>
      <w:tr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Sanity Check: UsersCount=100, GroupsCount≥10, SanityCheckOK=True</w:t>
            </w:r>
          </w:p>
        </w:tc>
        <w:tc>
          <w:tcPr>
            <w:tcW w:type="dxa" w:w="28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 OK / [ ] PEND</w:t>
            </w:r>
          </w:p>
        </w:tc>
      </w:tr>
      <w:tr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 de evidência salvo e arquivado (PRJ012_ATO1_Validation.json)</w:t>
            </w:r>
          </w:p>
        </w:tc>
        <w:tc>
          <w:tcPr>
            <w:tcW w:type="dxa" w:w="28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 OK / [ ] PEND</w:t>
            </w:r>
          </w:p>
        </w:tc>
      </w:tr>
      <w:tr>
        <w:tc>
          <w:tcPr>
            <w:tcW w:type="dxa" w:w="656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Logs_Execucao.md atualizado com IDs, timestamp e responsável</w:t>
            </w:r>
          </w:p>
        </w:tc>
        <w:tc>
          <w:tcPr>
            <w:tcW w:type="dxa" w:w="28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] OK / [ ] PEND</w:t>
            </w:r>
          </w:p>
        </w:tc>
      </w:tr>
    </w:tbl>
    <w:p>
      <w:pPr>
        <w:pBdr>
          <w:bottom w:val="single" w:color="2196F3" w:sz="4"/>
        </w:pBdr>
        <w:spacing w:before="160" w:after="16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Aprovações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68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68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GRC Lead / Responsável Técnico</w:t>
            </w:r>
          </w:p>
        </w:tc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Paulo Feitosa Lima</w:t>
            </w:r>
          </w:p>
        </w:tc>
        <w:tc>
          <w:tcPr>
            <w:tcW w:type="dxa" w:w="168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06/03/2026</w:t>
            </w:r>
          </w:p>
        </w:tc>
        <w:tc>
          <w:tcPr>
            <w:tcW w:type="dxa" w:w="168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GRC Advisor (Revisão Técnica)</w:t>
            </w:r>
          </w:p>
        </w:tc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Perplexity AI</w:t>
            </w:r>
          </w:p>
        </w:tc>
        <w:tc>
          <w:tcPr>
            <w:tcW w:type="dxa" w:w="168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06/03/2026</w:t>
            </w:r>
          </w:p>
        </w:tc>
        <w:tc>
          <w:tcPr>
            <w:tcW w:type="dxa" w:w="168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2FA" w:val="clear"/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Revisado</w:t>
            </w:r>
          </w:p>
        </w:tc>
      </w:tr>
      <w:tr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Segunda Opinião Técnica</w:t>
            </w:r>
          </w:p>
        </w:tc>
        <w:tc>
          <w:tcPr>
            <w:tcW w:type="dxa" w:w="300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Claude (Anthropic)</w:t>
            </w:r>
          </w:p>
        </w:tc>
        <w:tc>
          <w:tcPr>
            <w:tcW w:type="dxa" w:w="168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06/03/2026</w:t>
            </w:r>
          </w:p>
        </w:tc>
        <w:tc>
          <w:tcPr>
            <w:tcW w:type="dxa" w:w="1680"/>
            <w:gridSpan w:val="1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80"/>
              <w:start w:type="dxa" w:w="150"/>
              <w:bottom w:type="dxa" w:w="80"/>
              <w:end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Consolidado</w:t>
            </w:r>
          </w:p>
        </w:tc>
      </w:tr>
    </w:tbl>
    <w:p>
      <w:pPr>
        <w:spacing w:before="200" w:after="100"/>
      </w:pPr>
      <w:r>
        <w:t xml:space="preserve"> 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— FIM DO DOCUMENTO GMUD-PRJ012-ATO1 v1.0 —</w:t>
      </w: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Classificação: Confidencial Interno — Lab Fiqueok</w:t>
      </w:r>
    </w:p>
    <w:p>
      <w:pPr>
        <w:spacing w:before="20" w:after="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Referência: TAP-PRJ012 v1.1 | PRJ011 Concluído | PRJ007 Vault Operacional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CFE8" w:sz="4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888888"/>
        <w:sz w:val="16"/>
        <w:szCs w:val="16"/>
      </w:rPr>
      <w:t xml:space="preserve">GMUD-PRJ012-ATO1 v1.0 | Paulo Feitosa Lima — GRC Lead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196F3" w:sz="6" w:space="1"/>
      </w:pBdr>
      <w:tabs>
        <w:tab w:val="right" w:pos="9026"/>
      </w:tabs>
      <w:spacing w:before="0"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GMUD — PRJ012 | ATO 1: Fundação Cloud IGA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Confidencial Interno — Lab Fiqueok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5B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2026-03-06T20:14:35.279Z</dcterms:created>
  <dcterms:modified xsi:type="dcterms:W3CDTF">2026-03-06T20:14:35.280Z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