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40"/>
              <w:start w:type="dxa" w:w="440"/>
              <w:bottom w:type="dxa" w:w="440"/>
              <w:end w:type="dxa" w:w="440"/>
            </w:tcMar>
          </w:tcPr>
          <w:p>
            <w:pPr>
              <w:spacing w:before="0" w:after="80"/>
              <w:jc w:val="center"/>
            </w:pPr>
            <w:r>
              <w:rPr>
                <w:rFonts w:ascii="Arial" w:cs="Arial" w:eastAsia="Arial" w:hAnsi="Arial"/>
                <w:color w:val="90CAF9"/>
                <w:sz w:val="20"/>
                <w:szCs w:val="20"/>
              </w:rPr>
              <w:t xml:space="preserve">GESTÃO DE MUDANÇA — GMUD</w:t>
            </w:r>
          </w:p>
          <w:p>
            <w:pPr>
              <w:spacing w:before="0" w:after="140"/>
              <w:jc w:val="center"/>
            </w:pPr>
            <w:r>
              <w:rPr>
                <w:rFonts w:ascii="Arial" w:cs="Arial" w:eastAsia="Arial" w:hAnsi="Arial"/>
                <w:b/>
                <w:bCs/>
                <w:color w:val="FFFFFF"/>
                <w:sz w:val="34"/>
                <w:szCs w:val="34"/>
              </w:rPr>
              <w:t xml:space="preserve">PRJ012 — Orquestração de Identidades</w:t>
            </w:r>
          </w:p>
          <w:p>
            <w:pPr>
              <w:spacing w:before="0" w:after="80"/>
              <w:jc w:val="center"/>
            </w:pPr>
            <w:r>
              <w:rPr>
                <w:rFonts w:ascii="Arial" w:cs="Arial" w:eastAsia="Arial" w:hAnsi="Arial"/>
                <w:b/>
                <w:bCs/>
                <w:color w:val="90CAF9"/>
                <w:sz w:val="28"/>
                <w:szCs w:val="28"/>
              </w:rPr>
              <w:t xml:space="preserve">ATO 2: midPoint → Microsoft Entra ID</w:t>
            </w:r>
          </w:p>
          <w:p>
            <w:pPr>
              <w:spacing w:before="100" w:after="0"/>
              <w:jc w:val="center"/>
            </w:pPr>
            <w:r>
              <w:rPr>
                <w:rFonts w:ascii="Arial" w:cs="Arial" w:eastAsia="Arial" w:hAnsi="Arial"/>
                <w:color w:val="7EB8F7"/>
                <w:sz w:val="20"/>
                <w:szCs w:val="20"/>
              </w:rPr>
              <w:t xml:space="preserve">Dry Run, Reconciliação e Importação de Shadows</w:t>
            </w:r>
          </w:p>
        </w:tc>
      </w:tr>
    </w:tbl>
    <w:p>
      <w:pPr>
        <w:spacing w:before="2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Código da GMUD</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GMUD-PRJ012-ATO2</w:t>
            </w:r>
          </w:p>
        </w:tc>
      </w:tr>
      <w:tr>
        <w:tc>
          <w:tcPr>
            <w:tcW w:type="dxa" w:w="2800"/>
            <w:gridSpan w:val="1"/>
            <w:tcBorders>
              <w:top w:val="single" w:color="2E5B9A" w:sz="1"/>
              <w:left w:val="single" w:color="2E5B9A" w:sz="1"/>
              <w:bottom w:val="single" w:color="2E5B9A" w:sz="1"/>
              <w:right w:val="single" w:color="2E5B9A" w:sz="1"/>
            </w:tcBorders>
            <w:shd w:fill="2E5B9A"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Projeto</w:t>
            </w:r>
          </w:p>
        </w:tc>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PRJ012 — midPoint → Microsoft Entra ID</w:t>
            </w:r>
          </w:p>
        </w:tc>
      </w:tr>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Fase</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ATO 2 — Configuração do Resource + Dry Run + Reconciliação</w:t>
            </w:r>
          </w:p>
        </w:tc>
      </w:tr>
      <w:tr>
        <w:tc>
          <w:tcPr>
            <w:tcW w:type="dxa" w:w="2800"/>
            <w:gridSpan w:val="1"/>
            <w:tcBorders>
              <w:top w:val="single" w:color="2E5B9A" w:sz="1"/>
              <w:left w:val="single" w:color="2E5B9A" w:sz="1"/>
              <w:bottom w:val="single" w:color="2E5B9A" w:sz="1"/>
              <w:right w:val="single" w:color="2E5B9A" w:sz="1"/>
            </w:tcBorders>
            <w:shd w:fill="2E5B9A"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Versão</w:t>
            </w:r>
          </w:p>
        </w:tc>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1.0</w:t>
            </w:r>
          </w:p>
        </w:tc>
      </w:tr>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Data de Emissão</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06/03/2026</w:t>
            </w:r>
          </w:p>
        </w:tc>
      </w:tr>
      <w:tr>
        <w:tc>
          <w:tcPr>
            <w:tcW w:type="dxa" w:w="2800"/>
            <w:gridSpan w:val="1"/>
            <w:tcBorders>
              <w:top w:val="single" w:color="2E5B9A" w:sz="1"/>
              <w:left w:val="single" w:color="2E5B9A" w:sz="1"/>
              <w:bottom w:val="single" w:color="2E5B9A" w:sz="1"/>
              <w:right w:val="single" w:color="2E5B9A" w:sz="1"/>
            </w:tcBorders>
            <w:shd w:fill="2E5B9A"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Janela de Execução</w:t>
            </w:r>
          </w:p>
        </w:tc>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3–5 dias (múltiplas sessões possíveis)</w:t>
            </w:r>
          </w:p>
        </w:tc>
      </w:tr>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Responsável Técnico</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Paulo Feitosa Lima — GRC Lead / Especialista IAM</w:t>
            </w:r>
          </w:p>
        </w:tc>
      </w:tr>
      <w:tr>
        <w:tc>
          <w:tcPr>
            <w:tcW w:type="dxa" w:w="2800"/>
            <w:gridSpan w:val="1"/>
            <w:tcBorders>
              <w:top w:val="single" w:color="2E5B9A" w:sz="1"/>
              <w:left w:val="single" w:color="2E5B9A" w:sz="1"/>
              <w:bottom w:val="single" w:color="2E5B9A" w:sz="1"/>
              <w:right w:val="single" w:color="2E5B9A" w:sz="1"/>
            </w:tcBorders>
            <w:shd w:fill="2E5B9A"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Ambiente</w:t>
            </w:r>
          </w:p>
        </w:tc>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IGA-GF-01 (midPoint) ↔ Tenant fiqueok.com.br (Entra ID)</w:t>
            </w:r>
          </w:p>
        </w:tc>
      </w:tr>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Pré-requisito</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ATO 1 CONCLUÍDO — GMUD-PRJ012-ATO1 Gate liberado</w:t>
            </w:r>
          </w:p>
        </w:tc>
      </w:tr>
      <w:tr>
        <w:tc>
          <w:tcPr>
            <w:tcW w:type="dxa" w:w="2800"/>
            <w:gridSpan w:val="1"/>
            <w:tcBorders>
              <w:top w:val="single" w:color="2E5B9A" w:sz="1"/>
              <w:left w:val="single" w:color="2E5B9A" w:sz="1"/>
              <w:bottom w:val="single" w:color="2E5B9A" w:sz="1"/>
              <w:right w:val="single" w:color="2E5B9A" w:sz="1"/>
            </w:tcBorders>
            <w:shd w:fill="2E5B9A"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Referência TAP</w:t>
            </w:r>
          </w:p>
        </w:tc>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TAP-PRJ012 v1.1 — Seção 6, ATO 2</w:t>
            </w:r>
          </w:p>
        </w:tc>
      </w:tr>
      <w:tr>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Insumos do ATO 1</w:t>
            </w:r>
          </w:p>
        </w:tc>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Client ID, Tenant ID (via Vault path secret/prj012/entra-connector), Baseline 100 usuários / 13 grupos</w:t>
            </w:r>
          </w:p>
        </w:tc>
      </w:tr>
    </w:tbl>
    <w:p>
      <w:pPr>
        <w:spacing w:before="300" w:after="0"/>
      </w:pPr>
      <w:r>
        <w:br w:type="page"/>
      </w:r>
    </w:p>
    <w:p>
      <w:pPr>
        <w:pStyle w:val="Heading1"/>
        <w:spacing w:before="320" w:after="120"/>
      </w:pPr>
      <w:r>
        <w:rPr>
          <w:rFonts w:ascii="Arial" w:cs="Arial" w:eastAsia="Arial" w:hAnsi="Arial"/>
          <w:b/>
          <w:bCs/>
          <w:color w:val="1F3864"/>
          <w:sz w:val="28"/>
          <w:szCs w:val="28"/>
        </w:rPr>
        <w:t xml:space="preserve">1. Objetivo da Mudança</w:t>
      </w:r>
    </w:p>
    <w:p>
      <w:pPr>
        <w:spacing w:before="60" w:after="80"/>
      </w:pPr>
      <w:r>
        <w:rPr>
          <w:rFonts w:ascii="Arial" w:cs="Arial" w:eastAsia="Arial" w:hAnsi="Arial"/>
          <w:b w:val="false"/>
          <w:bCs w:val="false"/>
          <w:color w:val="333333"/>
          <w:sz w:val="19"/>
          <w:szCs w:val="19"/>
        </w:rPr>
        <w:t xml:space="preserve">O ATO 2 do PRJ012 implementa a camada de orquestração entre o midPoint e o Microsoft Entra ID, transformando o Service Principal criado no ATO 1 em um conector funcional de IGA. O objetivo central é importar as 100 identidades existentes (FP001–FP100) como objetos gerenciados (shadows) no midPoint, via reconciliação segura em modo Dry Run, sem realizar nenhuma escrita ou alteração sobre os usuários no Entra ID.</w:t>
      </w:r>
    </w:p>
    <w:p>
      <w:pPr>
        <w:spacing w:before="60" w:after="80"/>
      </w:pPr>
      <w:r>
        <w:rPr>
          <w:rFonts w:ascii="Arial" w:cs="Arial" w:eastAsia="Arial" w:hAnsi="Arial"/>
          <w:b w:val="false"/>
          <w:bCs w:val="false"/>
          <w:color w:val="333333"/>
          <w:sz w:val="19"/>
          <w:szCs w:val="19"/>
        </w:rPr>
        <w:t xml:space="preserve">Ao final do ATO 2, o midPoint terá visibilidade completa sobre o diretório Fiqueok, com regra de correlação ativa baseada no EmployeeID (âncora ImmutableID definida no PRJ010/PRJ011), constituindo o baseline técnico necessário para o ATO 3 (ciclo JML e RBAC automatizado).</w:t>
      </w:r>
    </w:p>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2. Escopo da Mudança</w:t>
      </w:r>
    </w:p>
    <w:p>
      <w:pPr>
        <w:spacing w:before="80" w:after="40"/>
      </w:pPr>
      <w:r>
        <w:rPr>
          <w:rFonts w:ascii="Arial" w:cs="Arial" w:eastAsia="Arial" w:hAnsi="Arial"/>
          <w:b/>
          <w:bCs/>
          <w:color w:val="1F3864"/>
          <w:sz w:val="20"/>
          <w:szCs w:val="20"/>
        </w:rPr>
        <w:t xml:space="preserve">Incluído neste ATO:</w:t>
      </w:r>
    </w:p>
    <w:p>
      <w:pPr>
        <w:pStyle w:val="ListParagraph"/>
        <w:numPr>
          <w:ilvl w:val="0"/>
          <w:numId w:val="2"/>
        </w:numPr>
        <w:spacing w:before="40" w:after="40"/>
      </w:pPr>
      <w:r>
        <w:rPr>
          <w:rFonts w:ascii="Arial" w:cs="Arial" w:eastAsia="Arial" w:hAnsi="Arial"/>
          <w:b w:val="false"/>
          <w:bCs w:val="false"/>
          <w:color w:val="333333"/>
          <w:sz w:val="19"/>
          <w:szCs w:val="19"/>
        </w:rPr>
        <w:t xml:space="preserve">Deploy do JAR connector-microsoft-graph-api no diretório de conectores do midPoint (/opt/midpoint/var/icf-connectors)</w:t>
      </w:r>
    </w:p>
    <w:p>
      <w:pPr>
        <w:pStyle w:val="ListParagraph"/>
        <w:numPr>
          <w:ilvl w:val="0"/>
          <w:numId w:val="2"/>
        </w:numPr>
        <w:spacing w:before="40" w:after="40"/>
      </w:pPr>
      <w:r>
        <w:rPr>
          <w:rFonts w:ascii="Arial" w:cs="Arial" w:eastAsia="Arial" w:hAnsi="Arial"/>
          <w:b w:val="false"/>
          <w:bCs w:val="false"/>
          <w:color w:val="333333"/>
          <w:sz w:val="19"/>
          <w:szCs w:val="19"/>
        </w:rPr>
        <w:t xml:space="preserve">Validação de rota de rede: midPoint (IGA-GF-01) → Vault (100.86.42.93) via Tailscale</w:t>
      </w:r>
    </w:p>
    <w:p>
      <w:pPr>
        <w:pStyle w:val="ListParagraph"/>
        <w:numPr>
          <w:ilvl w:val="0"/>
          <w:numId w:val="2"/>
        </w:numPr>
        <w:spacing w:before="40" w:after="40"/>
      </w:pPr>
      <w:r>
        <w:rPr>
          <w:rFonts w:ascii="Arial" w:cs="Arial" w:eastAsia="Arial" w:hAnsi="Arial"/>
          <w:b w:val="false"/>
          <w:bCs w:val="false"/>
          <w:color w:val="333333"/>
          <w:sz w:val="19"/>
          <w:szCs w:val="19"/>
        </w:rPr>
        <w:t xml:space="preserve">Configuração do External Secret Store no midPoint (leitura do Client Secret via Vault API — Zero Plaintext)</w:t>
      </w:r>
    </w:p>
    <w:p>
      <w:pPr>
        <w:pStyle w:val="ListParagraph"/>
        <w:numPr>
          <w:ilvl w:val="0"/>
          <w:numId w:val="2"/>
        </w:numPr>
        <w:spacing w:before="40" w:after="40"/>
      </w:pPr>
      <w:r>
        <w:rPr>
          <w:rFonts w:ascii="Arial" w:cs="Arial" w:eastAsia="Arial" w:hAnsi="Arial"/>
          <w:b w:val="false"/>
          <w:bCs w:val="false"/>
          <w:color w:val="333333"/>
          <w:sz w:val="19"/>
          <w:szCs w:val="19"/>
        </w:rPr>
        <w:t xml:space="preserve">Criação do Resource 'Microsoft Entra ID' no midPoint com Client ID, Tenant ID e Client Secret via Vault</w:t>
      </w:r>
    </w:p>
    <w:p>
      <w:pPr>
        <w:pStyle w:val="ListParagraph"/>
        <w:numPr>
          <w:ilvl w:val="0"/>
          <w:numId w:val="2"/>
        </w:numPr>
        <w:spacing w:before="40" w:after="40"/>
      </w:pPr>
      <w:r>
        <w:rPr>
          <w:rFonts w:ascii="Arial" w:cs="Arial" w:eastAsia="Arial" w:hAnsi="Arial"/>
          <w:b w:val="false"/>
          <w:bCs w:val="false"/>
          <w:color w:val="333333"/>
          <w:sz w:val="19"/>
          <w:szCs w:val="19"/>
        </w:rPr>
        <w:t xml:space="preserve">Test Connection (validação de semáforo verde: Conectividade + Configuração)</w:t>
      </w:r>
    </w:p>
    <w:p>
      <w:pPr>
        <w:pStyle w:val="ListParagraph"/>
        <w:numPr>
          <w:ilvl w:val="0"/>
          <w:numId w:val="2"/>
        </w:numPr>
        <w:spacing w:before="40" w:after="40"/>
      </w:pPr>
      <w:r>
        <w:rPr>
          <w:rFonts w:ascii="Arial" w:cs="Arial" w:eastAsia="Arial" w:hAnsi="Arial"/>
          <w:b w:val="false"/>
          <w:bCs w:val="false"/>
          <w:color w:val="333333"/>
          <w:sz w:val="19"/>
          <w:szCs w:val="19"/>
        </w:rPr>
        <w:t xml:space="preserve">Importação de Schema: atributos displayName, userPrincipalName, employeeId, department, jobTitle, accountEnabled, usageLocation</w:t>
      </w:r>
    </w:p>
    <w:p>
      <w:pPr>
        <w:pStyle w:val="ListParagraph"/>
        <w:numPr>
          <w:ilvl w:val="0"/>
          <w:numId w:val="2"/>
        </w:numPr>
        <w:spacing w:before="40" w:after="40"/>
      </w:pPr>
      <w:r>
        <w:rPr>
          <w:rFonts w:ascii="Arial" w:cs="Arial" w:eastAsia="Arial" w:hAnsi="Arial"/>
          <w:b w:val="false"/>
          <w:bCs w:val="false"/>
          <w:color w:val="333333"/>
          <w:sz w:val="19"/>
          <w:szCs w:val="19"/>
        </w:rPr>
        <w:t xml:space="preserve">Definição da Correlation Rule: employeeId (Entra ID) ↔ employeeID (midPoint) — âncora ImmutableID</w:t>
      </w:r>
    </w:p>
    <w:p>
      <w:pPr>
        <w:pStyle w:val="ListParagraph"/>
        <w:numPr>
          <w:ilvl w:val="0"/>
          <w:numId w:val="2"/>
        </w:numPr>
        <w:spacing w:before="40" w:after="40"/>
      </w:pPr>
      <w:r>
        <w:rPr>
          <w:rFonts w:ascii="Arial" w:cs="Arial" w:eastAsia="Arial" w:hAnsi="Arial"/>
          <w:b w:val="false"/>
          <w:bCs w:val="false"/>
          <w:color w:val="333333"/>
          <w:sz w:val="19"/>
          <w:szCs w:val="19"/>
        </w:rPr>
        <w:t xml:space="preserve">Data Quality Gate: validação de atributos mandatórios nos 100 registros antes de qualquer escrita</w:t>
      </w:r>
    </w:p>
    <w:p>
      <w:pPr>
        <w:pStyle w:val="ListParagraph"/>
        <w:numPr>
          <w:ilvl w:val="0"/>
          <w:numId w:val="2"/>
        </w:numPr>
        <w:spacing w:before="40" w:after="40"/>
      </w:pPr>
      <w:r>
        <w:rPr>
          <w:rFonts w:ascii="Arial" w:cs="Arial" w:eastAsia="Arial" w:hAnsi="Arial"/>
          <w:b w:val="false"/>
          <w:bCs w:val="false"/>
          <w:color w:val="333333"/>
          <w:sz w:val="19"/>
          <w:szCs w:val="19"/>
        </w:rPr>
        <w:t xml:space="preserve">Criação e execução da Reconciliation Task em modo dryRun: true</w:t>
      </w:r>
    </w:p>
    <w:p>
      <w:pPr>
        <w:pStyle w:val="ListParagraph"/>
        <w:numPr>
          <w:ilvl w:val="0"/>
          <w:numId w:val="2"/>
        </w:numPr>
        <w:spacing w:before="40" w:after="40"/>
      </w:pPr>
      <w:r>
        <w:rPr>
          <w:rFonts w:ascii="Arial" w:cs="Arial" w:eastAsia="Arial" w:hAnsi="Arial"/>
          <w:b w:val="false"/>
          <w:bCs w:val="false"/>
          <w:color w:val="333333"/>
          <w:sz w:val="19"/>
          <w:szCs w:val="19"/>
        </w:rPr>
        <w:t xml:space="preserve">Análise do relatório de reconciliação (esperado: 100 LINKED, 0 UNMATCHED, 0 erros)</w:t>
      </w:r>
    </w:p>
    <w:p>
      <w:pPr>
        <w:pStyle w:val="ListParagraph"/>
        <w:numPr>
          <w:ilvl w:val="0"/>
          <w:numId w:val="2"/>
        </w:numPr>
        <w:spacing w:before="40" w:after="40"/>
      </w:pPr>
      <w:r>
        <w:rPr>
          <w:rFonts w:ascii="Arial" w:cs="Arial" w:eastAsia="Arial" w:hAnsi="Arial"/>
          <w:b w:val="false"/>
          <w:bCs w:val="false"/>
          <w:color w:val="333333"/>
          <w:sz w:val="19"/>
          <w:szCs w:val="19"/>
        </w:rPr>
        <w:t xml:space="preserve">Habilitação da reconciliação real em modo Read após Dry Run validado</w:t>
      </w:r>
    </w:p>
    <w:p>
      <w:pPr>
        <w:pStyle w:val="ListParagraph"/>
        <w:numPr>
          <w:ilvl w:val="0"/>
          <w:numId w:val="2"/>
        </w:numPr>
        <w:spacing w:before="40" w:after="40"/>
      </w:pPr>
      <w:r>
        <w:rPr>
          <w:rFonts w:ascii="Arial" w:cs="Arial" w:eastAsia="Arial" w:hAnsi="Arial"/>
          <w:b w:val="false"/>
          <w:bCs w:val="false"/>
          <w:color w:val="333333"/>
          <w:sz w:val="19"/>
          <w:szCs w:val="19"/>
        </w:rPr>
        <w:t xml:space="preserve">Importação dos 100 usuários como shadows no midPoint</w:t>
      </w:r>
    </w:p>
    <w:p>
      <w:pPr>
        <w:pStyle w:val="ListParagraph"/>
        <w:numPr>
          <w:ilvl w:val="0"/>
          <w:numId w:val="2"/>
        </w:numPr>
        <w:spacing w:before="40" w:after="40"/>
      </w:pPr>
      <w:r>
        <w:rPr>
          <w:rFonts w:ascii="Arial" w:cs="Arial" w:eastAsia="Arial" w:hAnsi="Arial"/>
          <w:b w:val="false"/>
          <w:bCs w:val="false"/>
          <w:color w:val="333333"/>
          <w:sz w:val="19"/>
          <w:szCs w:val="19"/>
        </w:rPr>
        <w:t xml:space="preserve">Geração de evidências auditáveis: relatório de reconciliação, logs de auditoria, JSON de validação</w:t>
      </w:r>
    </w:p>
    <w:p>
      <w:pPr>
        <w:spacing w:before="120" w:after="40"/>
      </w:pPr>
      <w:r>
        <w:rPr>
          <w:rFonts w:ascii="Arial" w:cs="Arial" w:eastAsia="Arial" w:hAnsi="Arial"/>
          <w:b/>
          <w:bCs/>
          <w:color w:val="E65100"/>
          <w:sz w:val="20"/>
          <w:szCs w:val="20"/>
        </w:rPr>
        <w:t xml:space="preserve">Excluído deste ATO:</w:t>
      </w:r>
    </w:p>
    <w:p>
      <w:pPr>
        <w:pStyle w:val="ListParagraph"/>
        <w:numPr>
          <w:ilvl w:val="0"/>
          <w:numId w:val="2"/>
        </w:numPr>
        <w:spacing w:before="40" w:after="40"/>
      </w:pPr>
      <w:r>
        <w:rPr>
          <w:rFonts w:ascii="Arial" w:cs="Arial" w:eastAsia="Arial" w:hAnsi="Arial"/>
          <w:b w:val="false"/>
          <w:bCs w:val="false"/>
          <w:color w:val="333333"/>
          <w:sz w:val="19"/>
          <w:szCs w:val="19"/>
        </w:rPr>
        <w:t xml:space="preserve">Qualquer operação de escrita (criação, atualização, desabilitação) sobre usuários no Entra ID</w:t>
      </w:r>
    </w:p>
    <w:p>
      <w:pPr>
        <w:pStyle w:val="ListParagraph"/>
        <w:numPr>
          <w:ilvl w:val="0"/>
          <w:numId w:val="2"/>
        </w:numPr>
        <w:spacing w:before="40" w:after="40"/>
      </w:pPr>
      <w:r>
        <w:rPr>
          <w:rFonts w:ascii="Arial" w:cs="Arial" w:eastAsia="Arial" w:hAnsi="Arial"/>
          <w:b w:val="false"/>
          <w:bCs w:val="false"/>
          <w:color w:val="333333"/>
          <w:sz w:val="19"/>
          <w:szCs w:val="19"/>
        </w:rPr>
        <w:t xml:space="preserve">Configuração do conector OrangeHRM/MariaDB (Staging Table — ATO 3)</w:t>
      </w:r>
    </w:p>
    <w:p>
      <w:pPr>
        <w:pStyle w:val="ListParagraph"/>
        <w:numPr>
          <w:ilvl w:val="0"/>
          <w:numId w:val="2"/>
        </w:numPr>
        <w:spacing w:before="40" w:after="40"/>
      </w:pPr>
      <w:r>
        <w:rPr>
          <w:rFonts w:ascii="Arial" w:cs="Arial" w:eastAsia="Arial" w:hAnsi="Arial"/>
          <w:b w:val="false"/>
          <w:bCs w:val="false"/>
          <w:color w:val="333333"/>
          <w:sz w:val="19"/>
          <w:szCs w:val="19"/>
        </w:rPr>
        <w:t xml:space="preserve">Implementação do ciclo JML ou RBAC (ATO 3)</w:t>
      </w:r>
    </w:p>
    <w:p>
      <w:pPr>
        <w:pStyle w:val="ListParagraph"/>
        <w:numPr>
          <w:ilvl w:val="0"/>
          <w:numId w:val="2"/>
        </w:numPr>
        <w:spacing w:before="40" w:after="40"/>
      </w:pPr>
      <w:r>
        <w:rPr>
          <w:rFonts w:ascii="Arial" w:cs="Arial" w:eastAsia="Arial" w:hAnsi="Arial"/>
          <w:b w:val="false"/>
          <w:bCs w:val="false"/>
          <w:color w:val="333333"/>
          <w:sz w:val="19"/>
          <w:szCs w:val="19"/>
        </w:rPr>
        <w:t xml:space="preserve">Modificações em Conditional Access, PIM ou políticas de segurança</w:t>
      </w:r>
    </w:p>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3. Arquitetura da Mudança</w:t>
      </w:r>
    </w:p>
    <w:p>
      <w:pPr>
        <w:spacing w:before="60" w:after="80"/>
      </w:pPr>
      <w:r>
        <w:rPr>
          <w:rFonts w:ascii="Arial" w:cs="Arial" w:eastAsia="Arial" w:hAnsi="Arial"/>
          <w:b w:val="false"/>
          <w:bCs w:val="false"/>
          <w:color w:val="333333"/>
          <w:sz w:val="19"/>
          <w:szCs w:val="19"/>
        </w:rPr>
        <w:t xml:space="preserve">O ATO 2 estabelece o canal de leitura entre midPoint e Entra ID. O fluxo de autenticação e comunicação segue o padrão Zero Trust definido no TAP v1.1:</w:t>
      </w:r>
    </w:p>
    <w:p>
      <w:pPr>
        <w:spacing w:before="80" w:after="0"/>
      </w:pPr>
      <w:r>
        <w:t xml:space="preserve"> </w:t>
      </w:r>
    </w:p>
    <w:p>
      <w:pPr>
        <w:spacing w:before="100" w:after="0"/>
      </w:pPr>
      <w: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IGA-GF-01 (midPoint)                    Microsoft Entra ID</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connector-graph-api.jar     │         │  App: midpoint-iga-connector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Resource: Entra ID          │──HTTPS──▶│  User.ReadWrite.All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External Secret Store       │  OAuth2  │  Group.ReadWrite.All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 Vault API ◀────────────┼──────────┼─ Directory.Read.All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Correlation Rule:           │         │  100 usuários FP001–FP100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employeeId ↔ employeeID   │         │  13 grupos GRP_*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Reconciliation Task         │◀──Read──│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dryRun: true (fase 1)     │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Read Mode (fase 2)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Shadows: 100 usuários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 Tailscale (100.86.42.93)</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vault-gf-01 (HashiCorp Vault)</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secret/data/prj012/entra-connector</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client_id + client_secret</w:t>
      </w:r>
    </w:p>
    <w:p>
      <w:pPr>
        <w:spacing w:before="100" w:after="0"/>
      </w:pPr>
      <w:r>
        <w:t xml:space="preserve"> </w:t>
      </w:r>
    </w:p>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4. Roteiro de Execução</w:t>
      </w:r>
    </w:p>
    <w:p>
      <w:pPr>
        <w:pStyle w:val="Heading2"/>
        <w:spacing w:before="220" w:after="100"/>
      </w:pPr>
      <w:r>
        <w:rPr>
          <w:rFonts w:ascii="Arial" w:cs="Arial" w:eastAsia="Arial" w:hAnsi="Arial"/>
          <w:b/>
          <w:bCs/>
          <w:color w:val="2E5B9A"/>
          <w:sz w:val="24"/>
          <w:szCs w:val="24"/>
        </w:rPr>
        <w:t xml:space="preserve">4.1  Preparação de Infraestrutura — IGA-GF-01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1"/>
              <w:left w:val="single" w:color="E65100" w:sz="1"/>
              <w:bottom w:val="single" w:color="E65100" w:sz="1"/>
              <w:right w:val="single" w:color="E65100" w:sz="1"/>
            </w:tcBorders>
            <w:shd w:fill="E65100"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 PRÉ-REQ</w:t>
            </w:r>
          </w:p>
        </w:tc>
        <w:tc>
          <w:tcPr>
            <w:tcW w:type="dxa" w:w="8160"/>
            <w:tcBorders>
              <w:top w:val="single" w:color="E65100" w:sz="1"/>
              <w:left w:val="single" w:color="E65100" w:sz="1"/>
              <w:bottom w:val="single" w:color="E65100" w:sz="1"/>
              <w:right w:val="single" w:color="E65100" w:sz="1"/>
            </w:tcBorders>
            <w:shd w:fill="FFF3E0" w:val="clear"/>
            <w:tcMar>
              <w:top w:type="dxa" w:w="100"/>
              <w:start w:type="dxa" w:w="200"/>
              <w:bottom w:type="dxa" w:w="100"/>
              <w:end w:type="dxa" w:w="150"/>
            </w:tcMar>
          </w:tcPr>
          <w:p>
            <w:r>
              <w:rPr>
                <w:rFonts w:ascii="Arial" w:cs="Arial" w:eastAsia="Arial" w:hAnsi="Arial"/>
                <w:color w:val="E65100"/>
                <w:sz w:val="19"/>
                <w:szCs w:val="19"/>
              </w:rPr>
              <w:t xml:space="preserve">Executar a partir do servidor IGA-GF-01 com acesso SSH via Tailscale. Confirmar que o container midPoint está em execução antes de prosseguir.</w:t>
            </w:r>
          </w:p>
        </w:tc>
      </w:tr>
    </w:tbl>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Detalhe Técnico / GRC</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SSH para IGA-GF-01 via Tailscale</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ssh paulo@&lt;IP-IGA-GF-01&gt;. Conta nativa do servidor — não usar conta MSA (lição L01 PRJ011)</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Confirmar container midPoint em execução</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docker ps | grep midpoint — esperado: status Up</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3</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Download do JAR: connector-microsoft-graph-api (versão compatível midPoint 4.x)</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Verificar versão do midPoint antes de baixar o conector. Fonte: Evolveum Nexus Repository.</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4</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Deploy do JAR em /opt/midpoint/var/icf-connectors/</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cp connector-microsoft-graph-api-*.jar /opt/midpoint/var/icf-connectors/
chmod 644 *.jar</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5</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Reiniciar o container midPoint para carregar o novo conector</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docker restart midpoint
Aguardar ~60s e confirmar que o serviço voltou (docker ps)</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6</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Validar rota de rede: IGA-GF-01 → Vault (100.86.42.93) via Tailscale</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curl http://100.86.42.93:8200/v1/sys/health
Esperado: HTTP 200 com sealed:false</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7</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Confirmar que o conector aparece na lista de conectores no midPoint UI</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Configuration → Repository → Connector Hosts → listar conectores disponíveis. Microsoft Graph API deve estar presente.</w:t>
            </w:r>
          </w:p>
        </w:tc>
      </w:tr>
    </w:tbl>
    <w:p>
      <w:pPr>
        <w:spacing w:before="160" w:after="0"/>
      </w:pPr>
      <w:r>
        <w:t xml:space="preserve"> </w:t>
      </w:r>
    </w:p>
    <w:p>
      <w:pPr>
        <w:pStyle w:val="Heading2"/>
        <w:spacing w:before="220" w:after="100"/>
      </w:pPr>
      <w:r>
        <w:rPr>
          <w:rFonts w:ascii="Arial" w:cs="Arial" w:eastAsia="Arial" w:hAnsi="Arial"/>
          <w:b/>
          <w:bCs/>
          <w:color w:val="2E5B9A"/>
          <w:sz w:val="24"/>
          <w:szCs w:val="24"/>
        </w:rPr>
        <w:t xml:space="preserve">4.2  Configuração do External Secret Store (Zero Plaintext)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565C0" w:sz="1"/>
              <w:left w:val="single" w:color="1565C0" w:sz="1"/>
              <w:bottom w:val="single" w:color="1565C0" w:sz="1"/>
              <w:right w:val="single" w:color="1565C0" w:sz="1"/>
            </w:tcBorders>
            <w:shd w:fill="1565C0"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 SEC</w:t>
            </w:r>
          </w:p>
        </w:tc>
        <w:tc>
          <w:tcPr>
            <w:tcW w:type="dxa" w:w="8160"/>
            <w:tcBorders>
              <w:top w:val="single" w:color="1565C0" w:sz="1"/>
              <w:left w:val="single" w:color="1565C0" w:sz="1"/>
              <w:bottom w:val="single" w:color="1565C0" w:sz="1"/>
              <w:right w:val="single" w:color="1565C0" w:sz="1"/>
            </w:tcBorders>
            <w:shd w:fill="EBF2FA" w:val="clear"/>
            <w:tcMar>
              <w:top w:type="dxa" w:w="100"/>
              <w:start w:type="dxa" w:w="200"/>
              <w:bottom w:type="dxa" w:w="100"/>
              <w:end w:type="dxa" w:w="150"/>
            </w:tcMar>
          </w:tcPr>
          <w:p>
            <w:r>
              <w:rPr>
                <w:rFonts w:ascii="Arial" w:cs="Arial" w:eastAsia="Arial" w:hAnsi="Arial"/>
                <w:color w:val="1565C0"/>
                <w:sz w:val="19"/>
                <w:szCs w:val="19"/>
              </w:rPr>
              <w:t xml:space="preserve">O midPoint não deve conter o Client Secret em nenhum arquivo XML ou campo de texto do painel. Todo acesso ao secret deve ser feito via Vault API. Este passo implementa o padrão Zero Plaintext definido no TAP v1.1 (Gap 2).</w:t>
            </w:r>
          </w:p>
        </w:tc>
      </w:tr>
    </w:tbl>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Detalhe Técnico / GRC</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8</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No midPoint UI: System → Credentials Storage → Add Vault Configuration</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Endpoint: http://100.86.42.93:8200. Autenticação: Token (hvs.*) ou AppRole gerado para o midPoint</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9</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Inserir token do midPoint para acesso ao Vault (AppRole ou Token com policy restrita ao path secret/prj012/*)</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Boa prática: criar token de escopo mínimo no Vault antes desta etapa (vault token create -policy=prj012-policy)</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10</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Mapear referência ao secret: path secret/data/prj012/entra-connector → campo clientSecret do Resource</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O midPoint usará a referência ao path Vault — nunca o valor literal do secret no XML.</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11</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Validar leitura do secret pelo midPoint: Configuration → External Secrets → Test Connection</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Resultado esperado: vault kv get respondendo com client_secret resolvido. Nenhum valor exposto no log.</w:t>
            </w:r>
          </w:p>
        </w:tc>
      </w:tr>
    </w:tbl>
    <w:p>
      <w:pPr>
        <w:spacing w:before="160" w:after="0"/>
      </w:pPr>
      <w:r>
        <w:t xml:space="preserve"> </w:t>
      </w:r>
    </w:p>
    <w:p>
      <w:pPr>
        <w:pStyle w:val="Heading2"/>
        <w:spacing w:before="220" w:after="100"/>
      </w:pPr>
      <w:r>
        <w:rPr>
          <w:rFonts w:ascii="Arial" w:cs="Arial" w:eastAsia="Arial" w:hAnsi="Arial"/>
          <w:b/>
          <w:bCs/>
          <w:color w:val="2E5B9A"/>
          <w:sz w:val="24"/>
          <w:szCs w:val="24"/>
        </w:rPr>
        <w:t xml:space="preserve">4.3  Criação e Configuração do Resource — Microsoft Entra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Detalhe Técnico / GRC</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12</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midPoint UI → Resources → New Resource → Microsoft Graph API Connector</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Selecionar o conector instalado no passo 4. Nome do Resource: Entra ID - Fiqueok</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13</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Preencher parâmetros de conexão:</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Todos os valores vêm do ATO 1 (REL-PRJ012-ATO1 — Seção 5)</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Application (Client) ID: 6df1b421-cf53-41c4-b4aa-9a5d50f65148</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Coletado no ATO 1 — Overview do App Registration</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Directory (Tenant) ID: 503bbd0e-f33f-4ebe-b12e-f24a506978c9</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Tenant fixo — fiqueok.com.br</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Client Secret: [referência Vault] secret/data/prj012/entra-connector → client_secret</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Zero Plaintext: campo aponta para Vault — não inserir valor literal</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14</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Executar Test Connection no painel do Resource</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Critério de aceite: semáforo VERDE em Connectivity e Configuration. Qualquer sinal AMARELO ou VERMELHO é bloqueante.</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15</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Coletar evidência: screenshot do Test Connection com status verde</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Arquivo: E1_TestConnection_OK.png → ...\Evidencias\Ato2\</w:t>
            </w:r>
          </w:p>
        </w:tc>
      </w:tr>
    </w:tbl>
    <w:p>
      <w:pPr>
        <w:spacing w:before="160" w:after="0"/>
      </w:pPr>
      <w:r>
        <w:t xml:space="preserve"> </w:t>
      </w:r>
    </w:p>
    <w:p>
      <w:pPr>
        <w:pStyle w:val="Heading2"/>
        <w:spacing w:before="220" w:after="100"/>
      </w:pPr>
      <w:r>
        <w:rPr>
          <w:rFonts w:ascii="Arial" w:cs="Arial" w:eastAsia="Arial" w:hAnsi="Arial"/>
          <w:b/>
          <w:bCs/>
          <w:color w:val="2E5B9A"/>
          <w:sz w:val="24"/>
          <w:szCs w:val="24"/>
        </w:rPr>
        <w:t xml:space="preserve">4.4  Importação de Schema e Definição da Âncora de Correlação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 IAM</w:t>
            </w:r>
          </w:p>
        </w:tc>
        <w:tc>
          <w:tcPr>
            <w:tcW w:type="dxa" w:w="8160"/>
            <w:tcBorders>
              <w:top w:val="single" w:color="1F3864" w:sz="1"/>
              <w:left w:val="single" w:color="1F3864" w:sz="1"/>
              <w:bottom w:val="single" w:color="1F3864" w:sz="1"/>
              <w:right w:val="single" w:color="1F3864" w:sz="1"/>
            </w:tcBorders>
            <w:shd w:fill="EBF2FA" w:val="clear"/>
            <w:tcMar>
              <w:top w:type="dxa" w:w="100"/>
              <w:start w:type="dxa" w:w="200"/>
              <w:bottom w:type="dxa" w:w="100"/>
              <w:end w:type="dxa" w:w="150"/>
            </w:tcMar>
          </w:tcPr>
          <w:p>
            <w:r>
              <w:rPr>
                <w:rFonts w:ascii="Arial" w:cs="Arial" w:eastAsia="Arial" w:hAnsi="Arial"/>
                <w:color w:val="1F3864"/>
                <w:sz w:val="19"/>
                <w:szCs w:val="19"/>
              </w:rPr>
              <w:t xml:space="preserve">A âncora de correlação é o ponto mais crítico do ATO 2. Uma regra de correlação incorreta pode resultar em 100 usuários UNMATCHED, forçando o midPoint a tentar criar duplicatas no Entra ID. Dry Run obrigatório antes de qualquer escrita.</w:t>
            </w:r>
          </w:p>
        </w:tc>
      </w:tr>
    </w:tbl>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Detalhe Técnico / GRC</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16</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Resource → Schema → Import Schema (acionar leitura de metadados do Entra ID)</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midPoint conecta ao Entra ID via Graph API e descobre os atributos disponíveis automaticamente.</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17</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Confirmar atributos importados no Object Type 'User':</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Lista mínima obrigatória — qualquer atributo ausente bloqueia a reconciliação.</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displayName, userPrincipalName, employeeId, department, jobTitle, accountEnabled, usageLocation</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employeeId é a âncora — sua presença no schema é obrigatória.</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18</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Confirmar atributos importados no Object Type 'Group':</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Necessário para RBAC no ATO 3.</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displayName, id, members</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19</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Configurar Correlation Rule (regra de correlação inequívoca):</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Âncora definida no PRJ010/PRJ011 — ImmutableID end-to-end (TAP v1.1 Gap 3).</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Courier New" w:cs="Courier New" w:eastAsia="Courier New" w:hAnsi="Courier New"/>
                <w:b w:val="false"/>
                <w:bCs w:val="false"/>
                <w:color w:val="222222"/>
                <w:sz w:val="19"/>
                <w:szCs w:val="19"/>
              </w:rPr>
              <w:t xml:space="preserve">  → Regra: employeeId (Entra ID) = employeeID (midPoint shadow)</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Garantir que o campo não é reutilizável (FP001–FP100 são IDs fixos — lição L04 PRJ011).</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20</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Executar Data Quality Gate: validar que os 100 registros têm usageLocation e employeeId preenchidos no Entra ID</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Script PowerShell de validação pré-escrita (TAP v1.1 Gap 4 / Risco R07). Ver bloco de código abaixo.</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21</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Exportar schema como evidência (screenshot ou export XML do Resource)</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Arquivo: E2_Schema_Import.png → ...\Evidencias\Ato2\</w:t>
            </w:r>
          </w:p>
        </w:tc>
      </w:tr>
    </w:tbl>
    <w:p>
      <w:pPr>
        <w:spacing w:before="100" w:after="0"/>
      </w:pPr>
      <w:r>
        <w:t xml:space="preserve"> </w:t>
      </w:r>
    </w:p>
    <w:p>
      <w:pPr>
        <w:spacing w:before="60" w:after="80"/>
      </w:pPr>
      <w:r>
        <w:rPr>
          <w:rFonts w:ascii="Arial" w:cs="Arial" w:eastAsia="Arial" w:hAnsi="Arial"/>
          <w:b/>
          <w:bCs/>
          <w:color w:val="333333"/>
          <w:sz w:val="19"/>
          <w:szCs w:val="19"/>
        </w:rPr>
        <w:t xml:space="preserve">Script PowerShell — Data Quality Gate (Pré-Dry Run):</w:t>
      </w:r>
    </w:p>
    <w:p>
      <w:pPr>
        <w:spacing w:before="100" w:after="0"/>
      </w:pPr>
      <w: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PRJ012 ATO 2 — Data Quality Gate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Valida atributos mandatórios nos 100 usuarios antes de qualquer escrita</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$AccessToken = (Invoke-RestMethod -Method Post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-Uri 'https://login.microsoftonline.com/503bbd0e-f33f-4ebe-b12e-f24a506978c9/oauth2/v2.0/token'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-Body @{ client_id='SEU_CLIENT_ID'; client_secret='SEU_SECRET';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scope='https://graph.microsoft.com/.default'; grant_type='client_credentials'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).access_token</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$Users = (Invoke-RestMethod -Method Get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-Uri 'https://graph.microsoft.com/v1.0/users?$select=displayName,employeeId,usageLocation,department,jobTitle,accountEnabled'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-Headers @{ Authorization = "Bearer $AccessToken" }).value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$Invalid = $Users | Where-Object { -not $_.employeeId -or -not $_.usageLocation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if ($Invalid.Count -eq 0)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Write-Host '✅ Data Quality Gate: APROVADO — 100 registros com atributos mandatórios OK' -ForegroundColor Green</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else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Write-Host "❌ Gate REPROVADO: $($Invalid.Count) registro(s) com atributos ausentes:" -ForegroundColor Red</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$Invalid | Select-Object displayName, employeeId, usageLocation | Format-Table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w:t>
      </w:r>
    </w:p>
    <w:p>
      <w:pPr>
        <w:spacing w:before="100" w:after="0"/>
      </w:pPr>
      <w:r>
        <w:t xml:space="preserve"> </w:t>
      </w:r>
    </w:p>
    <w:p>
      <w:pPr>
        <w:spacing w:before="160" w:after="0"/>
      </w:pPr>
      <w:r>
        <w:t xml:space="preserve"> </w:t>
      </w:r>
    </w:p>
    <w:p>
      <w:pPr>
        <w:pStyle w:val="Heading2"/>
        <w:spacing w:before="220" w:after="100"/>
      </w:pPr>
      <w:r>
        <w:rPr>
          <w:rFonts w:ascii="Arial" w:cs="Arial" w:eastAsia="Arial" w:hAnsi="Arial"/>
          <w:b/>
          <w:bCs/>
          <w:color w:val="2E5B9A"/>
          <w:sz w:val="24"/>
          <w:szCs w:val="24"/>
        </w:rPr>
        <w:t xml:space="preserve">4.5  Execução do Dry Run (Reconciliação em Modo Simulação)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 DRY RUN</w:t>
            </w:r>
          </w:p>
        </w:tc>
        <w:tc>
          <w:tcPr>
            <w:tcW w:type="dxa" w:w="8160"/>
            <w:tcBorders>
              <w:top w:val="single" w:color="2E7D32" w:sz="1"/>
              <w:left w:val="single" w:color="2E7D32" w:sz="1"/>
              <w:bottom w:val="single" w:color="2E7D32" w:sz="1"/>
              <w:right w:val="single" w:color="2E7D32" w:sz="1"/>
            </w:tcBorders>
            <w:shd w:fill="E8F5E9" w:val="clear"/>
            <w:tcMar>
              <w:top w:type="dxa" w:w="100"/>
              <w:start w:type="dxa" w:w="200"/>
              <w:bottom w:type="dxa" w:w="100"/>
              <w:end w:type="dxa" w:w="150"/>
            </w:tcMar>
          </w:tcPr>
          <w:p>
            <w:r>
              <w:rPr>
                <w:rFonts w:ascii="Arial" w:cs="Arial" w:eastAsia="Arial" w:hAnsi="Arial"/>
                <w:color w:val="1B5E20"/>
                <w:sz w:val="19"/>
                <w:szCs w:val="19"/>
              </w:rPr>
              <w:t xml:space="preserve">A Reconciliation Task DEVE ser executada com dryRun: true antes de qualquer modo de escrita. Nenhuma alteração no Entra ID ocorre nesta fase. O Dry Run é o controle primário de segurança deste ATO.</w:t>
            </w:r>
          </w:p>
        </w:tc>
      </w:tr>
    </w:tbl>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Critério de Aceite</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22</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Resource → Tasks → New Reconciliation Task</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Nome da task: ATO2-DryRun-EntraID-001</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23</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Configurar opção: dryRun = true (Simulation Mode)</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OBRIGATÓRIO. Verificar duas vezes antes de disparar a task.</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24</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Executar a task e monitorar o log de execução em tempo real</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Tasks → Progress → acompanhar processamento dos 100 objetos</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25</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Analisar resultado do relatório de reconciliação</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Esperado: 100 LINKED | 0 UNMATCHED | 0 ADD | 0 DELETE | 0 erros 401/403</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26</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Se UNMATCHED &gt; 0: PARAR. Revisar Correlation Rule antes de prosseguir.</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bCs/>
                <w:color w:val="E65100"/>
                <w:sz w:val="19"/>
                <w:szCs w:val="19"/>
              </w:rPr>
              <w:t xml:space="preserve">Qualquer usuário UNMATCHED indica falha na âncora — não avançar para Read Mode.</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27</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Exportar relatório do Dry Run como evidência</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Arquivo: E3_DryRun_Report.xml/.png → ...\Evidencias\Ato2\</w:t>
            </w:r>
          </w:p>
        </w:tc>
      </w:tr>
    </w:tbl>
    <w:p>
      <w:pPr>
        <w:spacing w:before="160" w:after="0"/>
      </w:pPr>
      <w:r>
        <w:t xml:space="preserve"> </w:t>
      </w:r>
    </w:p>
    <w:p>
      <w:pPr>
        <w:pStyle w:val="Heading2"/>
        <w:spacing w:before="220" w:after="100"/>
      </w:pPr>
      <w:r>
        <w:rPr>
          <w:rFonts w:ascii="Arial" w:cs="Arial" w:eastAsia="Arial" w:hAnsi="Arial"/>
          <w:b/>
          <w:bCs/>
          <w:color w:val="2E5B9A"/>
          <w:sz w:val="24"/>
          <w:szCs w:val="24"/>
        </w:rPr>
        <w:t xml:space="preserve">4.6  Reconciliação Real (Read Mode) — Importação de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 GATE</w:t>
            </w:r>
          </w:p>
        </w:tc>
        <w:tc>
          <w:tcPr>
            <w:tcW w:type="dxa" w:w="8160"/>
            <w:tcBorders>
              <w:top w:val="single" w:color="2E7D32" w:sz="1"/>
              <w:left w:val="single" w:color="2E7D32" w:sz="1"/>
              <w:bottom w:val="single" w:color="2E7D32" w:sz="1"/>
              <w:right w:val="single" w:color="2E7D32" w:sz="1"/>
            </w:tcBorders>
            <w:shd w:fill="E8F5E9" w:val="clear"/>
            <w:tcMar>
              <w:top w:type="dxa" w:w="100"/>
              <w:start w:type="dxa" w:w="200"/>
              <w:bottom w:type="dxa" w:w="100"/>
              <w:end w:type="dxa" w:w="150"/>
            </w:tcMar>
          </w:tcPr>
          <w:p>
            <w:r>
              <w:rPr>
                <w:rFonts w:ascii="Arial" w:cs="Arial" w:eastAsia="Arial" w:hAnsi="Arial"/>
                <w:color w:val="1B5E20"/>
                <w:sz w:val="19"/>
                <w:szCs w:val="19"/>
              </w:rPr>
              <w:t xml:space="preserve">Esta etapa só deve ser executada após validação completa do Dry Run (100 LINKED, 0 UNMATCHED). O modo Read importa os usuários como shadows — sem alterar dados no Entra ID.</w:t>
            </w:r>
          </w:p>
        </w:tc>
      </w:tr>
    </w:tbl>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960"/>
        <w:gridCol w:w="3100"/>
      </w:tblGrid>
      <w:tr>
        <w:tc>
          <w:tcPr>
            <w:tcW w:type="dxa" w:w="6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w:t>
            </w:r>
          </w:p>
        </w:tc>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Passo</w:t>
            </w:r>
          </w:p>
        </w:tc>
        <w:tc>
          <w:tcPr>
            <w:tcW w:type="dxa" w:w="31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Critério de Aceite</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28</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Criar nova Reconciliation Task: ATO2-ReadMode-EntraID-001</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dryRun = false — modo de leitura real (importação de shadows)</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29</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Executar task e monitorar progresso</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Esperado: 100 objetos processados, 100 shadows criados no repositório do midPoint</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30</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Verificar painel de Resources: todos os 100 usuários com status LINKED</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Resources → Entra ID - Fiqueok → Accounts → filtrar por status LINKED. Contagem esperada: 100.</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31</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Confirmar ausência de erros 401 (autenticação) e 403 (autorização) nos logs</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Qualquer 401/403 indica problema com o token Vault ou permissões do App Registration</w:t>
            </w:r>
          </w:p>
        </w:tc>
      </w:tr>
      <w:tr>
        <w:tc>
          <w:tcPr>
            <w:tcW w:type="dxa" w:w="6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32</w:t>
            </w:r>
          </w:p>
        </w:tc>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Exportar log de auditoria do midPoint pós-reconciliação</w:t>
            </w:r>
          </w:p>
        </w:tc>
        <w:tc>
          <w:tcPr>
            <w:tcW w:type="dxa" w:w="31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Arquivo: E4_ReadMode_AuditLog.txt → ...\Evidencias\Ato2\</w:t>
            </w:r>
          </w:p>
        </w:tc>
      </w:tr>
      <w:tr>
        <w:tc>
          <w:tcPr>
            <w:tcW w:type="dxa" w:w="6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33</w:t>
            </w:r>
          </w:p>
        </w:tc>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w:t>
            </w:r>
          </w:p>
        </w:tc>
        <w:tc>
          <w:tcPr>
            <w:tcW w:type="dxa" w:w="49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Salvar evidência de validação em JSON</w:t>
            </w:r>
          </w:p>
        </w:tc>
        <w:tc>
          <w:tcPr>
            <w:tcW w:type="dxa" w:w="31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...\Evidencias\Ato2\PRJ012_ATO2_Validation.json (ver script abaixo)</w:t>
            </w:r>
          </w:p>
        </w:tc>
      </w:tr>
    </w:tbl>
    <w:p>
      <w:pPr>
        <w:spacing w:before="100" w:after="0"/>
      </w:pPr>
      <w:r>
        <w:t xml:space="preserve"> </w:t>
      </w:r>
    </w:p>
    <w:p>
      <w:pPr>
        <w:spacing w:before="60" w:after="80"/>
      </w:pPr>
      <w:r>
        <w:rPr>
          <w:rFonts w:ascii="Arial" w:cs="Arial" w:eastAsia="Arial" w:hAnsi="Arial"/>
          <w:b/>
          <w:bCs/>
          <w:color w:val="333333"/>
          <w:sz w:val="19"/>
          <w:szCs w:val="19"/>
        </w:rPr>
        <w:t xml:space="preserve">Script PowerShell — Geração de Evidência JSON do ATO 2:</w:t>
      </w:r>
    </w:p>
    <w:p>
      <w:pPr>
        <w:spacing w:before="100" w:after="0"/>
      </w:pPr>
      <w: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PRJ012 ATO 2 — Evidência de Validação Final</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$ProjEvidenciaPath = '...\PRJ012 - Orquestração de Identidades\Evidencias\Ato2'</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New-Item -ItemType Directory -Force -Path $ProjEvidenciaPath | Out-Null</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Reutilizar token da sessão atual (ou gerar novo se expirado)</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$AccessToken = (Invoke-RestMethod -Method Post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-Uri 'https://login.microsoftonline.com/503bbd0e-f33f-4ebe-b12e-f24a506978c9/oauth2/v2.0/token'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-Body @{ client_id='SEU_CLIENT_ID'; client_secret='SEU_SECRET';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scope='https://graph.microsoft.com/.default'; grant_type='client_credentials'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).access_token</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$Users  = (Invoke-RestMethod -Method Get -Uri 'https://graph.microsoft.com/v1.0/users'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-Headers @{ Authorization = "Bearer $AccessToken" }).value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$Groups = (Invoke-RestMethod -Method Get -Uri 'https://graph.microsoft.com/v1.0/groups'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-Headers @{ Authorization = "Bearer $AccessToken" }).value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$Output =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Timestamp         = (Get-Date -Format 'yyyy-MM-dd HH:mm:ss')</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Responsavel       = 'Paulo Feitosa Lima'</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ATO               = 'ATO2 — midPoint -&gt; Entra ID Dry Run + Read Mode'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TenantId          = '503bbd0e-f33f-4ebe-b12e-f24a506978c9'</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TokenLength       = $AccessToken.Length</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UsersCount        = $Users.Count</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GroupsCount       = $Groups.Count</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DryRunResult      = '100 LINKED | 0 UNMATCHED'   # Preencher após Dry Run</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ShadowsImported   = 100                          # Preencher após Read Mode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SanityCheckOK     = ($Users.Count -eq 100)</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 </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$Output | ConvertTo-Json | Out-File "$ProjEvidenciaPath\PRJ012_ATO2_Validation.json" -Encoding UTF8</w:t>
      </w:r>
    </w:p>
    <w:p>
      <w:pPr>
        <w:pBdr>
          <w:top w:val="single" w:color="2196F3" w:sz="1"/>
          <w:bottom w:val="single" w:color="2196F3" w:sz="1"/>
          <w:left w:val="single" w:color="2196F3" w:sz="8"/>
          <w:right w:val="single" w:color="2196F3" w:sz="1"/>
        </w:pBdr>
        <w:shd w:fill="1E1E2E" w:val="clear"/>
        <w:spacing w:before="0" w:after="0"/>
      </w:pPr>
      <w:r>
        <w:rPr>
          <w:rFonts w:ascii="Courier New" w:cs="Courier New" w:eastAsia="Courier New" w:hAnsi="Courier New"/>
          <w:color w:val="A8E6CF"/>
          <w:sz w:val="16"/>
          <w:szCs w:val="16"/>
        </w:rPr>
        <w:t xml:space="preserve">Write-Host '✅ Evidência ATO 2 salva!' -ForegroundColor Green</w:t>
      </w:r>
    </w:p>
    <w:p>
      <w:pPr>
        <w:spacing w:before="100" w:after="0"/>
      </w:pPr>
      <w:r>
        <w:t xml:space="preserve"> </w:t>
      </w:r>
    </w:p>
    <w:p>
      <w:pPr>
        <w:spacing w:before="300" w:after="0"/>
      </w:pPr>
      <w:r>
        <w:br w:type="page"/>
      </w:r>
    </w:p>
    <w:p>
      <w:pPr>
        <w:pStyle w:val="Heading1"/>
        <w:spacing w:before="320" w:after="120"/>
      </w:pPr>
      <w:r>
        <w:rPr>
          <w:rFonts w:ascii="Arial" w:cs="Arial" w:eastAsia="Arial" w:hAnsi="Arial"/>
          <w:b/>
          <w:bCs/>
          <w:color w:val="1F3864"/>
          <w:sz w:val="28"/>
          <w:szCs w:val="28"/>
        </w:rPr>
        <w:t xml:space="preserve">5. Análise de Risco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1300"/>
        <w:gridCol w:w="1200"/>
        <w:gridCol w:w="2800"/>
      </w:tblGrid>
      <w:tr>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ID</w:t>
            </w:r>
          </w:p>
        </w:tc>
        <w:tc>
          <w:tcPr>
            <w:tcW w:type="dxa" w:w="33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Risco</w:t>
            </w:r>
          </w:p>
        </w:tc>
        <w:tc>
          <w:tcPr>
            <w:tcW w:type="dxa" w:w="13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Prob.</w:t>
            </w:r>
          </w:p>
        </w:tc>
        <w:tc>
          <w:tcPr>
            <w:tcW w:type="dxa" w:w="12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Impacto</w:t>
            </w:r>
          </w:p>
        </w:tc>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Mitigação</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R01</w:t>
            </w:r>
          </w:p>
        </w:tc>
        <w:tc>
          <w:tcPr>
            <w:tcW w:type="dxa" w:w="33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Usuários UNMATCHED — correlação falha por employeeId ausente ou nulo no Entra ID</w:t>
            </w:r>
          </w:p>
        </w:tc>
        <w:tc>
          <w:tcPr>
            <w:tcW w:type="dxa" w:w="13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Média</w:t>
            </w:r>
          </w:p>
        </w:tc>
        <w:tc>
          <w:tcPr>
            <w:tcW w:type="dxa" w:w="1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bCs/>
                <w:color w:val="B71C1C"/>
                <w:sz w:val="19"/>
                <w:szCs w:val="19"/>
              </w:rPr>
              <w:t xml:space="preserve">Crítico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Data Quality Gate (passo 20) valida 100% dos registros antes do Dry Run. Dry Run bloqueia criação de duplicatas.</w:t>
            </w:r>
          </w:p>
        </w:tc>
      </w:tr>
      <w:tr>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R02</w:t>
            </w:r>
          </w:p>
        </w:tc>
        <w:tc>
          <w:tcPr>
            <w:tcW w:type="dxa" w:w="33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Test Connection falha (401/403) — token Vault expirado ou permissões insuficientes</w:t>
            </w:r>
          </w:p>
        </w:tc>
        <w:tc>
          <w:tcPr>
            <w:tcW w:type="dxa" w:w="13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Baixa</w:t>
            </w:r>
          </w:p>
        </w:tc>
        <w:tc>
          <w:tcPr>
            <w:tcW w:type="dxa" w:w="12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bCs/>
                <w:color w:val="E65100"/>
                <w:sz w:val="19"/>
                <w:szCs w:val="19"/>
              </w:rPr>
              <w:t xml:space="preserve">Alto</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Validar Vault status (unsealed) e token antes de configurar o Resource. Checar permissões do App Registration (ATO 1).</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R03</w:t>
            </w:r>
          </w:p>
        </w:tc>
        <w:tc>
          <w:tcPr>
            <w:tcW w:type="dxa" w:w="33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Conector JAR incompatível com versão do midPoint instalada</w:t>
            </w:r>
          </w:p>
        </w:tc>
        <w:tc>
          <w:tcPr>
            <w:tcW w:type="dxa" w:w="13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Média</w:t>
            </w:r>
          </w:p>
        </w:tc>
        <w:tc>
          <w:tcPr>
            <w:tcW w:type="dxa" w:w="1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Verificar versão do midPoint antes do download do JAR (docker inspect ou UI: About). Usar JAR certificado para a versão exata.</w:t>
            </w:r>
          </w:p>
        </w:tc>
      </w:tr>
      <w:tr>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R04</w:t>
            </w:r>
          </w:p>
        </w:tc>
        <w:tc>
          <w:tcPr>
            <w:tcW w:type="dxa" w:w="33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Throttling da Graph API durante importação dos 100 usuários (R06 do TAP)</w:t>
            </w:r>
          </w:p>
        </w:tc>
        <w:tc>
          <w:tcPr>
            <w:tcW w:type="dxa" w:w="13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Média</w:t>
            </w:r>
          </w:p>
        </w:tc>
        <w:tc>
          <w:tcPr>
            <w:tcW w:type="dxa" w:w="12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Médio</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Configurar paginação no conector ($top=20) e retry policy com backoff exponencial. Monitorar logs durante a task.</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R05</w:t>
            </w:r>
          </w:p>
        </w:tc>
        <w:tc>
          <w:tcPr>
            <w:tcW w:type="dxa" w:w="33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Vault sealed durante execução — midPoint perde acesso ao Client Secret</w:t>
            </w:r>
          </w:p>
        </w:tc>
        <w:tc>
          <w:tcPr>
            <w:tcW w:type="dxa" w:w="13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Baixa</w:t>
            </w:r>
          </w:p>
        </w:tc>
        <w:tc>
          <w:tcPr>
            <w:tcW w:type="dxa" w:w="1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bCs/>
                <w:color w:val="E65100"/>
                <w:sz w:val="19"/>
                <w:szCs w:val="19"/>
              </w:rPr>
              <w:t xml:space="preserve">Alto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Verificar vault status (sealed: false) antes de iniciar qualquer task. Manter sessão SSH ativa no vault-gf-01 durante a execução.</w:t>
            </w:r>
          </w:p>
        </w:tc>
      </w:tr>
      <w:tr>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R06</w:t>
            </w:r>
          </w:p>
        </w:tc>
        <w:tc>
          <w:tcPr>
            <w:tcW w:type="dxa" w:w="33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Reconciliação real executada antes da validação do Dry Run (erro de processo)</w:t>
            </w:r>
          </w:p>
        </w:tc>
        <w:tc>
          <w:tcPr>
            <w:tcW w:type="dxa" w:w="13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Baixa</w:t>
            </w:r>
          </w:p>
        </w:tc>
        <w:tc>
          <w:tcPr>
            <w:tcW w:type="dxa" w:w="12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bCs/>
                <w:color w:val="B71C1C"/>
                <w:sz w:val="19"/>
                <w:szCs w:val="19"/>
              </w:rPr>
              <w:t xml:space="preserve">Crítico</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Sequência de execução obrigatória: Dry Run → validar 100 LINKED → SOMENTE ENTÃO Read Mode. Checklists de passo impedem salto.</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R07</w:t>
            </w:r>
          </w:p>
        </w:tc>
        <w:tc>
          <w:tcPr>
            <w:tcW w:type="dxa" w:w="33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Container midPoint reiniciado antes da conclusão da task — perda de estado</w:t>
            </w:r>
          </w:p>
        </w:tc>
        <w:tc>
          <w:tcPr>
            <w:tcW w:type="dxa" w:w="13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Baixa</w:t>
            </w:r>
          </w:p>
        </w:tc>
        <w:tc>
          <w:tcPr>
            <w:tcW w:type="dxa" w:w="1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Médio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Snapshot do container antes de cada fase (docker commit). Não reiniciar o container durante tasks ativas.</w:t>
            </w:r>
          </w:p>
        </w:tc>
      </w:tr>
    </w:tbl>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6. Plano de Rollback</w:t>
      </w:r>
    </w:p>
    <w:p>
      <w:pPr>
        <w:spacing w:before="60" w:after="80"/>
      </w:pPr>
      <w:r>
        <w:rPr>
          <w:rFonts w:ascii="Arial" w:cs="Arial" w:eastAsia="Arial" w:hAnsi="Arial"/>
          <w:b w:val="false"/>
          <w:bCs w:val="false"/>
          <w:color w:val="333333"/>
          <w:sz w:val="19"/>
          <w:szCs w:val="19"/>
        </w:rPr>
        <w:t xml:space="preserve">O ATO 2 opera exclusivamente em modo de leitura — nenhuma escrita é realizada nos objetos do Entra ID. O rollback é, portanto, de baixo impacto e circunscrito ao ambiente midPoint:</w:t>
      </w:r>
    </w:p>
    <w:p>
      <w:pPr>
        <w:spacing w:before="8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5200"/>
      </w:tblGrid>
      <w:tr>
        <w:tc>
          <w:tcPr>
            <w:tcW w:type="dxa" w:w="7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Nível</w:t>
            </w:r>
          </w:p>
        </w:tc>
        <w:tc>
          <w:tcPr>
            <w:tcW w:type="dxa" w:w="34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Cenário</w:t>
            </w:r>
          </w:p>
        </w:tc>
        <w:tc>
          <w:tcPr>
            <w:tcW w:type="dxa" w:w="52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Ação de Rollback</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L1</w:t>
            </w:r>
          </w:p>
        </w:tc>
        <w:tc>
          <w:tcPr>
            <w:tcW w:type="dxa" w:w="34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Dry Run reporta UNMATCHED &gt; 0</w:t>
            </w:r>
          </w:p>
        </w:tc>
        <w:tc>
          <w:tcPr>
            <w:tcW w:type="dxa" w:w="5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PARAR a task. Revisar Correlation Rule (employeeId). Re-executar Data Quality Gate. Nenhuma escrita ocorreu — zero impacto no Entra ID.</w:t>
            </w:r>
          </w:p>
        </w:tc>
      </w:tr>
      <w:tr>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L2</w:t>
            </w:r>
          </w:p>
        </w:tc>
        <w:tc>
          <w:tcPr>
            <w:tcW w:type="dxa" w:w="34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Test Connection falha repetidamente (401/403)</w:t>
            </w:r>
          </w:p>
        </w:tc>
        <w:tc>
          <w:tcPr>
            <w:tcW w:type="dxa" w:w="52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Verificar: (1) Vault sealed? (2) Token midPoint expirado? (3) Permissões App Registration revogadas? Corrigir o componente falho e retornar ao passo 14.</w:t>
            </w:r>
          </w:p>
        </w:tc>
      </w:tr>
      <w:tr>
        <w:tc>
          <w:tcPr>
            <w:tcW w:type="dxa" w:w="7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L3</w:t>
            </w:r>
          </w:p>
        </w:tc>
        <w:tc>
          <w:tcPr>
            <w:tcW w:type="dxa" w:w="34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Read Mode gerou shadows inconsistentes no midPoint</w:t>
            </w:r>
          </w:p>
        </w:tc>
        <w:tc>
          <w:tcPr>
            <w:tcW w:type="dxa" w:w="52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Desabilitar o Resource no midPoint. Limpar shadows via Repository → Objects → Shadows → Delete All para o Resource afetado. Re-executar a partir do Dry Run.</w:t>
            </w:r>
          </w:p>
        </w:tc>
      </w:tr>
      <w:tr>
        <w:tc>
          <w:tcPr>
            <w:tcW w:type="dxa" w:w="7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L4</w:t>
            </w:r>
          </w:p>
        </w:tc>
        <w:tc>
          <w:tcPr>
            <w:tcW w:type="dxa" w:w="34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Corrupção de atributos no Entra ID (cenário improvável — ATO 2 é read-only)</w:t>
            </w:r>
          </w:p>
        </w:tc>
        <w:tc>
          <w:tcPr>
            <w:tcW w:type="dxa" w:w="52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Executar Restore-EntraIDAttributes.ps1 com base no fiqueok_entraid_users.csv (backup PRJ011). Desconectar o Resource no midPoint ANTES da restauração para evitar escrita concorrente.</w:t>
            </w:r>
          </w:p>
        </w:tc>
      </w:tr>
    </w:tbl>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B9A" w:sz="1"/>
              <w:left w:val="single" w:color="2E5B9A" w:sz="1"/>
              <w:bottom w:val="single" w:color="2E5B9A" w:sz="1"/>
              <w:right w:val="single" w:color="2E5B9A" w:sz="1"/>
            </w:tcBorders>
            <w:shd w:fill="2E5B9A" w:val="clear"/>
            <w:tcMar>
              <w:top w:type="dxa" w:w="100"/>
              <w:start w:type="dxa" w:w="150"/>
              <w:bottom w:type="dxa" w:w="100"/>
              <w:end w:type="dxa" w:w="150"/>
            </w:tcMar>
            <w:vAlign w:val="center"/>
          </w:tcPr>
          <w:p>
            <w:pPr>
              <w:jc w:val="center"/>
            </w:pPr>
            <w:r>
              <w:rPr>
                <w:rFonts w:ascii="Arial" w:cs="Arial" w:eastAsia="Arial" w:hAnsi="Arial"/>
                <w:b/>
                <w:bCs/>
                <w:color w:val="FFFFFF"/>
                <w:sz w:val="18"/>
                <w:szCs w:val="18"/>
              </w:rPr>
              <w:t xml:space="preserve">ℹ INFO</w:t>
            </w:r>
          </w:p>
        </w:tc>
        <w:tc>
          <w:tcPr>
            <w:tcW w:type="dxa" w:w="8160"/>
            <w:tcBorders>
              <w:top w:val="single" w:color="2E5B9A" w:sz="1"/>
              <w:left w:val="single" w:color="2E5B9A" w:sz="1"/>
              <w:bottom w:val="single" w:color="2E5B9A" w:sz="1"/>
              <w:right w:val="single" w:color="2E5B9A" w:sz="1"/>
            </w:tcBorders>
            <w:shd w:fill="EBF2FA" w:val="clear"/>
            <w:tcMar>
              <w:top w:type="dxa" w:w="100"/>
              <w:start w:type="dxa" w:w="200"/>
              <w:bottom w:type="dxa" w:w="100"/>
              <w:end w:type="dxa" w:w="150"/>
            </w:tcMar>
          </w:tcPr>
          <w:p>
            <w:r>
              <w:rPr>
                <w:rFonts w:ascii="Arial" w:cs="Arial" w:eastAsia="Arial" w:hAnsi="Arial"/>
                <w:color w:val="1F3864"/>
                <w:sz w:val="19"/>
                <w:szCs w:val="19"/>
              </w:rPr>
              <w:t xml:space="preserve">O ATO 2 não realiza nenhuma escrita nos usuários FP001–FP100 do Entra ID. Shadows são objetos internos do midPoint. Em caso de falha total, basta deletar o Resource e os shadows — o diretório Entra ID permanece intacto.</w:t>
            </w:r>
          </w:p>
        </w:tc>
      </w:tr>
    </w:tbl>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7. Checklist Consolidado de Execução e Evidência</w:t>
      </w:r>
    </w:p>
    <w:p>
      <w:pPr>
        <w:pStyle w:val="Heading2"/>
        <w:spacing w:before="220" w:after="100"/>
      </w:pPr>
      <w:r>
        <w:rPr>
          <w:rFonts w:ascii="Arial" w:cs="Arial" w:eastAsia="Arial" w:hAnsi="Arial"/>
          <w:b/>
          <w:bCs/>
          <w:color w:val="2E5B9A"/>
          <w:sz w:val="24"/>
          <w:szCs w:val="24"/>
        </w:rPr>
        <w:t xml:space="preserve">7.1  Preparação</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JAR connector-microsoft-graph-api instalado em /opt/midpoint/var/icf-connectors/</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Container midPoint reiniciado e saudável após deploy do JAR</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Rota Tailscale IGA-GF-01 → Vault (100.86.42.93) validada (curl HTTP 200)</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Conector Microsoft Graph API visível na lista de conectores do midPoint</w:t>
      </w:r>
    </w:p>
    <w:p>
      <w:pPr>
        <w:spacing w:before="80" w:after="0"/>
      </w:pPr>
      <w:r>
        <w:t xml:space="preserve"> </w:t>
      </w:r>
    </w:p>
    <w:p>
      <w:pPr>
        <w:pStyle w:val="Heading2"/>
        <w:spacing w:before="220" w:after="100"/>
      </w:pPr>
      <w:r>
        <w:rPr>
          <w:rFonts w:ascii="Arial" w:cs="Arial" w:eastAsia="Arial" w:hAnsi="Arial"/>
          <w:b/>
          <w:bCs/>
          <w:color w:val="2E5B9A"/>
          <w:sz w:val="24"/>
          <w:szCs w:val="24"/>
        </w:rPr>
        <w:t xml:space="preserve">7.2  External Secret Store e Resource</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External Secret Store configurado: endpoint Vault, token com policy restrita a secret/prj012/*</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Resource 'Entra ID - Fiqueok' criado com Client ID, Tenant ID e Client Secret via Vault (Zero Plaintext)</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Test Connection: semáforo VERDE em Connectivity e Configuration</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Evidência E1 coletada: screenshot Test Connection OK</w:t>
      </w:r>
    </w:p>
    <w:p>
      <w:pPr>
        <w:spacing w:before="80" w:after="0"/>
      </w:pPr>
      <w:r>
        <w:t xml:space="preserve"> </w:t>
      </w:r>
    </w:p>
    <w:p>
      <w:pPr>
        <w:pStyle w:val="Heading2"/>
        <w:spacing w:before="220" w:after="100"/>
      </w:pPr>
      <w:r>
        <w:rPr>
          <w:rFonts w:ascii="Arial" w:cs="Arial" w:eastAsia="Arial" w:hAnsi="Arial"/>
          <w:b/>
          <w:bCs/>
          <w:color w:val="2E5B9A"/>
          <w:sz w:val="24"/>
          <w:szCs w:val="24"/>
        </w:rPr>
        <w:t xml:space="preserve">7.3  Schema e Âncora</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Schema importado — Object Type User com atributos: displayName, userPrincipalName, employeeId, department, jobTitle, accountEnabled, usageLocation</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Schema importado — Object Type Group com atributos: displayName, id, members</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Correlation Rule configurada: employeeId (Entra ID) ↔ employeeID (midPoint) — âncora ImmutableID</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Data Quality Gate APROVADO: 0 registros com employeeId ou usageLocation ausentes</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Evidência E2 coletada: screenshot ou export XML do Schema</w:t>
      </w:r>
    </w:p>
    <w:p>
      <w:pPr>
        <w:spacing w:before="80" w:after="0"/>
      </w:pPr>
      <w:r>
        <w:t xml:space="preserve"> </w:t>
      </w:r>
    </w:p>
    <w:p>
      <w:pPr>
        <w:pStyle w:val="Heading2"/>
        <w:spacing w:before="220" w:after="100"/>
      </w:pPr>
      <w:r>
        <w:rPr>
          <w:rFonts w:ascii="Arial" w:cs="Arial" w:eastAsia="Arial" w:hAnsi="Arial"/>
          <w:b/>
          <w:bCs/>
          <w:color w:val="2E5B9A"/>
          <w:sz w:val="24"/>
          <w:szCs w:val="24"/>
        </w:rPr>
        <w:t xml:space="preserve">7.4  Dry Run</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Reconciliation Task ATO2-DryRun-EntraID-001 executada com dryRun = true</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Resultado: 100 LINKED | 0 UNMATCHED | 0 ADD | 0 DELETE | 0 erros</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Log de auditoria do Dry Run revisado — nenhuma ação destrutiva detectada</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Evidência E3 coletada: relatório Dry Run exportado</w:t>
      </w:r>
    </w:p>
    <w:p>
      <w:pPr>
        <w:spacing w:before="80" w:after="0"/>
      </w:pPr>
      <w:r>
        <w:t xml:space="preserve"> </w:t>
      </w:r>
    </w:p>
    <w:p>
      <w:pPr>
        <w:pStyle w:val="Heading2"/>
        <w:spacing w:before="220" w:after="100"/>
      </w:pPr>
      <w:r>
        <w:rPr>
          <w:rFonts w:ascii="Arial" w:cs="Arial" w:eastAsia="Arial" w:hAnsi="Arial"/>
          <w:b/>
          <w:bCs/>
          <w:color w:val="2E5B9A"/>
          <w:sz w:val="24"/>
          <w:szCs w:val="24"/>
        </w:rPr>
        <w:t xml:space="preserve">7.5  Reconciliação Real (Read Mode)</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Reconciliation Task ATO2-ReadMode-EntraID-001 executada com dryRun = false</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100 shadows criados no repositório do midPoint</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Todos os 100 usuários com status LINKED no painel do Resource</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Zero erros 401 (autenticação) e 403 (autorização) nos logs</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Evidência E4 coletada: log de auditoria pós-Read Mode</w:t>
      </w:r>
    </w:p>
    <w:p>
      <w:pPr>
        <w:spacing w:before="80" w:after="0"/>
      </w:pPr>
      <w:r>
        <w:t xml:space="preserve"> </w:t>
      </w:r>
    </w:p>
    <w:p>
      <w:pPr>
        <w:pStyle w:val="Heading2"/>
        <w:spacing w:before="220" w:after="100"/>
      </w:pPr>
      <w:r>
        <w:rPr>
          <w:rFonts w:ascii="Arial" w:cs="Arial" w:eastAsia="Arial" w:hAnsi="Arial"/>
          <w:b/>
          <w:bCs/>
          <w:color w:val="2E5B9A"/>
          <w:sz w:val="24"/>
          <w:szCs w:val="24"/>
        </w:rPr>
        <w:t xml:space="preserve">7.6  Evidências e Registro Final</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PRJ012_ATO2_Validation.json salvo em ...\Evidencias\Ato2\</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Logs_Execucao.md atualizado: Timestamp, Responsável, UsersLinked=100, DryRun=OK, ShadowsImported=100</w:t>
      </w:r>
    </w:p>
    <w:p>
      <w:pPr>
        <w:pStyle w:val="ListParagraph"/>
        <w:numPr>
          <w:ilvl w:val="0"/>
          <w:numId w:val="3"/>
        </w:numPr>
        <w:spacing w:before="60" w:after="60"/>
      </w:pPr>
      <w:r>
        <w:rPr>
          <w:rFonts w:ascii="Arial" w:cs="Arial" w:eastAsia="Arial" w:hAnsi="Arial"/>
          <w:color w:val="555555"/>
          <w:sz w:val="19"/>
          <w:szCs w:val="19"/>
        </w:rPr>
        <w:t xml:space="preserve">☐  </w:t>
      </w:r>
      <w:r>
        <w:rPr>
          <w:rFonts w:ascii="Arial" w:cs="Arial" w:eastAsia="Arial" w:hAnsi="Arial"/>
          <w:color w:val="333333"/>
          <w:sz w:val="19"/>
          <w:szCs w:val="19"/>
        </w:rPr>
        <w:t xml:space="preserve">Desvios e incidentes documentados (se houver)</w:t>
      </w:r>
    </w:p>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8. Critérios de Saída — Gate para ATO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Critério de Saída (Gate para ATO 3)</w:t>
            </w:r>
          </w:p>
        </w:tc>
        <w:tc>
          <w:tcPr>
            <w:tcW w:type="dxa" w:w="2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r>
      <w:tr>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Resource 'Entra ID - Fiqueok' ativo no midPoint com Test Connection verde</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Schema importado — atributos User e Group visíveis e documentados</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Correlation Rule: employeeId ↔ employeeID configurada e validada</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Data Quality Gate APROVADO (0 registros com atributos mandatórios ausentes)</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Dry Run validado: 100 LINKED | 0 UNMATCHED | 0 erros de autenticação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100 shadows importados no midPoint — todos com status LINKED</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Zero erros 401/403 nos logs do midPoint pós-reconciliação</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PRJ012_ATO2_Validation.json arquivado em ...\Evidencias\Ato2\</w:t>
            </w:r>
          </w:p>
        </w:tc>
        <w:tc>
          <w:tcPr>
            <w:tcW w:type="dxa" w:w="2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r>
        <w:tc>
          <w:tcPr>
            <w:tcW w:type="dxa" w:w="65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Logs_Execucao.md atualizado com todos os campos do ATO 2</w:t>
            </w:r>
          </w:p>
        </w:tc>
        <w:tc>
          <w:tcPr>
            <w:tcW w:type="dxa" w:w="2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 ] OK / [ ] PEND</w:t>
            </w:r>
          </w:p>
        </w:tc>
      </w:tr>
    </w:tbl>
    <w:p>
      <w:pPr>
        <w:pBdr>
          <w:bottom w:val="single" w:color="2196F3" w:sz="4"/>
        </w:pBdr>
        <w:spacing w:before="160" w:after="160"/>
      </w:pPr>
    </w:p>
    <w:p>
      <w:pPr>
        <w:pStyle w:val="Heading1"/>
        <w:spacing w:before="320" w:after="120"/>
      </w:pPr>
      <w:r>
        <w:rPr>
          <w:rFonts w:ascii="Arial" w:cs="Arial" w:eastAsia="Arial" w:hAnsi="Arial"/>
          <w:b/>
          <w:bCs/>
          <w:color w:val="1F3864"/>
          <w:sz w:val="28"/>
          <w:szCs w:val="28"/>
        </w:rPr>
        <w:t xml:space="preserve">9. Aprovações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1800"/>
        <w:gridCol w:w="1800"/>
      </w:tblGrid>
      <w:tr>
        <w:tc>
          <w:tcPr>
            <w:tcW w:type="dxa" w:w="30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Função</w:t>
            </w:r>
          </w:p>
        </w:tc>
        <w:tc>
          <w:tcPr>
            <w:tcW w:type="dxa" w:w="276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left"/>
            </w:pPr>
            <w:r>
              <w:rPr>
                <w:rFonts w:ascii="Arial" w:cs="Arial" w:eastAsia="Arial" w:hAnsi="Arial"/>
                <w:b/>
                <w:bCs/>
                <w:color w:val="FFFFFF"/>
                <w:sz w:val="19"/>
                <w:szCs w:val="19"/>
              </w:rPr>
              <w:t xml:space="preserve">Nome</w:t>
            </w:r>
          </w:p>
        </w:tc>
        <w:tc>
          <w:tcPr>
            <w:tcW w:type="dxa" w:w="1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Data</w:t>
            </w:r>
          </w:p>
        </w:tc>
        <w:tc>
          <w:tcPr>
            <w:tcW w:type="dxa" w:w="1800"/>
            <w:gridSpan w:val="1"/>
            <w:tcBorders>
              <w:top w:val="single" w:color="1F3864" w:sz="1"/>
              <w:left w:val="single" w:color="1F3864" w:sz="1"/>
              <w:bottom w:val="single" w:color="1F3864" w:sz="1"/>
              <w:right w:val="single" w:color="1F3864" w:sz="1"/>
            </w:tcBorders>
            <w:shd w:fill="1F3864" w:val="clear"/>
            <w:tcMar>
              <w:top w:type="dxa" w:w="90"/>
              <w:start w:type="dxa" w:w="150"/>
              <w:bottom w:type="dxa" w:w="90"/>
              <w:end w:type="dxa" w:w="150"/>
            </w:tcMar>
            <w:vAlign w:val="center"/>
          </w:tcPr>
          <w:p>
            <w:pPr>
              <w:jc w:val="center"/>
            </w:pPr>
            <w:r>
              <w:rPr>
                <w:rFonts w:ascii="Arial" w:cs="Arial" w:eastAsia="Arial" w:hAnsi="Arial"/>
                <w:b/>
                <w:bCs/>
                <w:color w:val="FFFFFF"/>
                <w:sz w:val="19"/>
                <w:szCs w:val="19"/>
              </w:rPr>
              <w:t xml:space="preserve">Status</w:t>
            </w:r>
          </w:p>
        </w:tc>
      </w:tr>
      <w:tr>
        <w:tc>
          <w:tcPr>
            <w:tcW w:type="dxa" w:w="30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GRC Lead / Responsável Técnico</w:t>
            </w:r>
          </w:p>
        </w:tc>
        <w:tc>
          <w:tcPr>
            <w:tcW w:type="dxa" w:w="27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Paulo Feitosa Lima</w:t>
            </w:r>
          </w:p>
        </w:tc>
        <w:tc>
          <w:tcPr>
            <w:tcW w:type="dxa" w:w="1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06/03/2026</w:t>
            </w:r>
          </w:p>
        </w:tc>
        <w:tc>
          <w:tcPr>
            <w:tcW w:type="dxa" w:w="1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Pendente</w:t>
            </w:r>
          </w:p>
        </w:tc>
      </w:tr>
      <w:tr>
        <w:tc>
          <w:tcPr>
            <w:tcW w:type="dxa" w:w="30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GRC Advisor</w:t>
            </w:r>
          </w:p>
        </w:tc>
        <w:tc>
          <w:tcPr>
            <w:tcW w:type="dxa" w:w="276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Perplexity AI</w:t>
            </w:r>
          </w:p>
        </w:tc>
        <w:tc>
          <w:tcPr>
            <w:tcW w:type="dxa" w:w="1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06/03/2026</w:t>
            </w:r>
          </w:p>
        </w:tc>
        <w:tc>
          <w:tcPr>
            <w:tcW w:type="dxa" w:w="1800"/>
            <w:gridSpan w:val="1"/>
            <w:tcBorders>
              <w:top w:val="single" w:color="BBCFE8" w:sz="1"/>
              <w:left w:val="single" w:color="BBCFE8" w:sz="1"/>
              <w:bottom w:val="single" w:color="BBCFE8" w:sz="1"/>
              <w:right w:val="single" w:color="BBCFE8" w:sz="1"/>
            </w:tcBorders>
            <w:shd w:fill="EBF2FA" w:val="clear"/>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Revisado</w:t>
            </w:r>
          </w:p>
        </w:tc>
      </w:tr>
      <w:tr>
        <w:tc>
          <w:tcPr>
            <w:tcW w:type="dxa" w:w="30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Segunda Opinião Técnica</w:t>
            </w:r>
          </w:p>
        </w:tc>
        <w:tc>
          <w:tcPr>
            <w:tcW w:type="dxa" w:w="276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left"/>
            </w:pPr>
            <w:r>
              <w:rPr>
                <w:rFonts w:ascii="Arial" w:cs="Arial" w:eastAsia="Arial" w:hAnsi="Arial"/>
                <w:b w:val="false"/>
                <w:bCs w:val="false"/>
                <w:color w:val="222222"/>
                <w:sz w:val="19"/>
                <w:szCs w:val="19"/>
              </w:rPr>
              <w:t xml:space="preserve">Claude (Anthropic)</w:t>
            </w:r>
          </w:p>
        </w:tc>
        <w:tc>
          <w:tcPr>
            <w:tcW w:type="dxa" w:w="1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06/03/2026</w:t>
            </w:r>
          </w:p>
        </w:tc>
        <w:tc>
          <w:tcPr>
            <w:tcW w:type="dxa" w:w="1800"/>
            <w:gridSpan w:val="1"/>
            <w:tcBorders>
              <w:top w:val="single" w:color="BBCFE8" w:sz="1"/>
              <w:left w:val="single" w:color="BBCFE8" w:sz="1"/>
              <w:bottom w:val="single" w:color="BBCFE8" w:sz="1"/>
              <w:right w:val="single" w:color="BBCFE8" w:sz="1"/>
            </w:tcBorders>
            <w:tcMar>
              <w:top w:type="dxa" w:w="90"/>
              <w:start w:type="dxa" w:w="150"/>
              <w:bottom w:type="dxa" w:w="90"/>
              <w:end w:type="dxa" w:w="150"/>
            </w:tcMar>
            <w:vAlign w:val="center"/>
          </w:tcPr>
          <w:p>
            <w:pPr>
              <w:jc w:val="center"/>
            </w:pPr>
            <w:r>
              <w:rPr>
                <w:rFonts w:ascii="Arial" w:cs="Arial" w:eastAsia="Arial" w:hAnsi="Arial"/>
                <w:b w:val="false"/>
                <w:bCs w:val="false"/>
                <w:color w:val="222222"/>
                <w:sz w:val="19"/>
                <w:szCs w:val="19"/>
              </w:rPr>
              <w:t xml:space="preserve">Consolidado</w:t>
            </w:r>
          </w:p>
        </w:tc>
      </w:tr>
    </w:tbl>
    <w:p>
      <w:pPr>
        <w:spacing w:before="200" w:after="0"/>
      </w:pPr>
      <w:r>
        <w:t xml:space="preserve"> </w:t>
      </w:r>
    </w:p>
    <w:p>
      <w:pPr>
        <w:spacing w:before="0" w:after="0"/>
        <w:jc w:val="center"/>
      </w:pPr>
      <w:r>
        <w:rPr>
          <w:rFonts w:ascii="Arial" w:cs="Arial" w:eastAsia="Arial" w:hAnsi="Arial"/>
          <w:i/>
          <w:iCs/>
          <w:color w:val="888888"/>
          <w:sz w:val="17"/>
          <w:szCs w:val="17"/>
        </w:rPr>
        <w:t xml:space="preserve">— FIM DO DOCUMENTO GMUD-PRJ012-ATO2 v1.0 —</w:t>
      </w:r>
    </w:p>
    <w:p>
      <w:pPr>
        <w:spacing w:before="40" w:after="0"/>
        <w:jc w:val="center"/>
      </w:pPr>
      <w:r>
        <w:rPr>
          <w:rFonts w:ascii="Arial" w:cs="Arial" w:eastAsia="Arial" w:hAnsi="Arial"/>
          <w:i/>
          <w:iCs/>
          <w:color w:val="888888"/>
          <w:sz w:val="17"/>
          <w:szCs w:val="17"/>
        </w:rPr>
        <w:t xml:space="preserve">Classificação: Confidencial Interno — Lab Fiqueok | Referência: TAP-PRJ012 v1.1 | Pré-req: GMUD-PRJ012-ATO1 Concluído</w:t>
      </w:r>
    </w:p>
    <w:p>
      <w:pPr>
        <w:spacing w:before="20" w:after="0"/>
        <w:jc w:val="center"/>
      </w:pPr>
      <w:r>
        <w:rPr>
          <w:rFonts w:ascii="Arial" w:cs="Arial" w:eastAsia="Arial" w:hAnsi="Arial"/>
          <w:i/>
          <w:iCs/>
          <w:color w:val="2E5B9A"/>
          <w:sz w:val="17"/>
          <w:szCs w:val="17"/>
        </w:rPr>
        <w:t xml:space="preserve">ATO 3 (OrangeHRM → JML + RBAC) desbloqueado após Gate deste ATO.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4" w:space="1"/>
      </w:pBdr>
      <w:tabs>
        <w:tab w:val="right" w:pos="9026"/>
      </w:tabs>
      <w:spacing w:before="80" w:after="0"/>
    </w:pPr>
    <w:r>
      <w:rPr>
        <w:rFonts w:ascii="Arial" w:cs="Arial" w:eastAsia="Arial" w:hAnsi="Arial"/>
        <w:color w:val="888888"/>
        <w:sz w:val="16"/>
        <w:szCs w:val="16"/>
      </w:rPr>
      <w:t xml:space="preserve">PRJ012 — ATO 2 | Paulo Feitosa Lima — GRC Lead</w:t>
    </w:r>
    <w:r>
      <w:rPr>
        <w:rFonts w:ascii="Arial" w:cs="Arial" w:eastAsia="Arial" w:hAnsi="Arial"/>
        <w:color w:val="888888"/>
        <w:sz w:val="16"/>
        <w:szCs w:val="16"/>
      </w:rPr>
      <w:t xml:space="preserve">	Página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6" w:space="1"/>
      </w:pBdr>
      <w:tabs>
        <w:tab w:val="right" w:pos="9026"/>
      </w:tabs>
      <w:spacing w:before="0" w:after="80"/>
    </w:pPr>
    <w:r>
      <w:rPr>
        <w:rFonts w:ascii="Arial" w:cs="Arial" w:eastAsia="Arial" w:hAnsi="Arial"/>
        <w:b/>
        <w:bCs/>
        <w:color w:val="1F3864"/>
        <w:sz w:val="18"/>
        <w:szCs w:val="18"/>
      </w:rPr>
      <w:t xml:space="preserve">GMUD-PRJ012-ATO2 v1.0 | midPoint → Microsoft Entra ID (Dry Run &amp; Reconciliação)</w:t>
    </w:r>
    <w:r>
      <w:rPr>
        <w:rFonts w:ascii="Arial" w:cs="Arial" w:eastAsia="Arial" w:hAnsi="Arial"/>
        <w:color w:val="888888"/>
        <w:sz w:val="16"/>
        <w:szCs w:val="16"/>
      </w:rPr>
      <w:t xml:space="preserve">	Confidencial Interno — Lab Fiqueok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5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2026-03-06T23:51:02.801Z</dcterms:created>
  <dcterms:modified xsi:type="dcterms:W3CDTF">2026-03-06T23:51:02.802Z</dcterms:modified>
</cp:coreProperties>
</file>

<file path=docProps/custom.xml><?xml version="1.0" encoding="utf-8"?>
<Properties xmlns="http://schemas.openxmlformats.org/officeDocument/2006/custom-properties" xmlns:vt="http://schemas.openxmlformats.org/officeDocument/2006/docPropsVTypes"/>
</file>