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共VUE打包机制调整说明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没有修改之前打包模式：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如果修改到公共的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vue组件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，所有的站点需要重新打包一次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根据项目单独打包，修改公用vue 减少全不打包的可能性。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修改代码需要检查，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当前项目引用，js vue， 是否在其他项目中也有引用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Source Code Pro" w:hAnsi="Source Code Pro" w:eastAsia="Source Code Pro" w:cs="Source Code Pro"/>
          <w:color w:val="F8F8F2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E6DB74"/>
          <w:sz w:val="21"/>
          <w:szCs w:val="21"/>
          <w:shd w:val="clear" w:fill="272822"/>
        </w:rPr>
        <w:t>src/share/components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hare components 排查了全部依赖关系</w:t>
      </w:r>
    </w:p>
    <w:p>
      <w:pPr>
        <w:numPr>
          <w:ilvl w:val="0"/>
          <w:numId w:val="0"/>
        </w:numPr>
        <w:ind w:firstLine="4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 部分VUE无法作为JS引入使用。</w:t>
      </w:r>
    </w:p>
    <w:p>
      <w:pPr>
        <w:numPr>
          <w:ilvl w:val="0"/>
          <w:numId w:val="0"/>
        </w:numPr>
        <w:ind w:firstLine="4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 编译后的JS 部分存在依赖关系，不要更换前后顺序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675" cy="2987675"/>
            <wp:effectExtent l="0" t="0" r="3175" b="3175"/>
            <wp:docPr id="1" name="图片 1" descr="QQ五笔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五笔截图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ask packvue 列表内的VUE组件，如果有修改，可以单独编译为 _v.js。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不需要打包全部由依赖的项目。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ue最终生成文件 _v.js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路径 OtWebSite\resource\share\RESOURCE_VERSION\dist\_v.js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合并引用的第三方JS文件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pc 引用 _$.js（变化如图）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 引用 _5.js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651000"/>
            <wp:effectExtent l="0" t="0" r="381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转化vue 到 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71975" cy="12192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组件注册到vue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6200" cy="9239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E1C17"/>
    <w:multiLevelType w:val="singleLevel"/>
    <w:tmpl w:val="54EE1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46B8"/>
    <w:rsid w:val="0FC02E88"/>
    <w:rsid w:val="2ACF059A"/>
    <w:rsid w:val="48AC46B8"/>
    <w:rsid w:val="64C9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2018-12-27T04:57:00Z</dcterms:created>
  <dc:creator>admin</dc:creator>
  <cp:lastModifiedBy>admin</cp:lastModifiedBy>
  <dcterms:modified xsi:type="dcterms:W3CDTF">2019-01-09T05:46:51Z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