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黑体" w:hAnsi="黑体"/>
          <w:sz w:val="32"/>
        </w:rPr>
        <w:t>（学校名）</w:t>
      </w:r>
    </w:p>
    <w:p>
      <w:pPr>
        <w:spacing w:before="240"/>
        <w:jc w:val="center"/>
      </w:pPr>
      <w:r>
        <w:rPr>
          <w:rFonts w:ascii="黑体" w:hAnsi="黑体"/>
          <w:b/>
          <w:sz w:val="72"/>
        </w:rPr>
        <w:t>硕士专业学位论文</w:t>
      </w:r>
    </w:p>
    <w:p>
      <w:pPr>
        <w:spacing w:before="960"/>
        <w:jc w:val="center"/>
      </w:pPr>
      <w:r>
        <w:rPr>
          <w:rFonts w:ascii="黑体" w:hAnsi="黑体"/>
          <w:sz w:val="44"/>
        </w:rPr>
        <w:t>题目：基于 TCN-SE 与混合精度量化的</w:t>
        <w:br/>
        <w:t>SCADA 入侵检测研究</w:t>
      </w:r>
    </w:p>
    <w:p>
      <w:pPr>
        <w:spacing w:before="2400"/>
        <w:jc w:val="center"/>
      </w:pPr>
      <w:r>
        <w:rPr>
          <w:rFonts w:ascii="宋体" w:hAnsi="宋体"/>
          <w:sz w:val="28"/>
        </w:rPr>
        <w:t>作者：（姓名）</w:t>
        <w:br/>
        <w:t>指导教师：（教授）</w:t>
        <w:br/>
        <w:t>专业：（控制工程）</w:t>
        <w:br/>
        <w:t>学号：（学号）</w:t>
        <w:br/>
        <w:t>日期：2026 年 6 月</w:t>
      </w:r>
    </w:p>
    <w:p>
      <w:r>
        <w:br w:type="page"/>
      </w:r>
    </w:p>
    <w:p>
      <w:pPr>
        <w:spacing w:before="480" w:after="360" w:line="240" w:lineRule="auto"/>
        <w:jc w:val="center"/>
      </w:pPr>
      <w:r>
        <w:rPr>
          <w:rFonts w:ascii="Times New Roman" w:hAnsi="Times New Roman" w:eastAsia="黑体"/>
          <w:b/>
          <w:sz w:val="44"/>
        </w:rPr>
        <w:t>Word 模板使用说明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4"/>
        </w:rPr>
        <w:t>本模板使用 Word VBA 宏实现诊断框一键插入，配合自定义样式（4 色）实现与 LaTeX 版本等价的教学诊断功能。</w:t>
      </w:r>
    </w:p>
    <w:p>
      <w:pPr>
        <w:spacing w:before="240" w:after="120" w:line="240" w:lineRule="auto"/>
      </w:pPr>
      <w:r>
        <w:rPr>
          <w:rFonts w:ascii="Times New Roman" w:hAnsi="Times New Roman" w:eastAsia="黑体"/>
          <w:b/>
          <w:sz w:val="32"/>
        </w:rPr>
        <w:t>1. 4 色诊断框说明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4"/>
        </w:rPr>
        <w:t>本模板定义了 4 种诊断样式，每种对应一个 VBA 宏和一组快捷键：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9E1F2"/>
          </w:tcPr>
          <w:p>
            <w:r>
              <w:t>样式名</w:t>
            </w:r>
          </w:p>
        </w:tc>
        <w:tc>
          <w:tcPr>
            <w:tcW w:type="dxa" w:w="2268"/>
            <w:shd w:val="clear" w:color="auto" w:fill="D9E1F2"/>
          </w:tcPr>
          <w:p>
            <w:r>
              <w:t>颜色</w:t>
            </w:r>
          </w:p>
        </w:tc>
        <w:tc>
          <w:tcPr>
            <w:tcW w:type="dxa" w:w="2268"/>
            <w:shd w:val="clear" w:color="auto" w:fill="D9E1F2"/>
          </w:tcPr>
          <w:p>
            <w:r>
              <w:t>快捷键</w:t>
            </w:r>
          </w:p>
        </w:tc>
        <w:tc>
          <w:tcPr>
            <w:tcW w:type="dxa" w:w="2268"/>
            <w:shd w:val="clear" w:color="auto" w:fill="D9E1F2"/>
          </w:tcPr>
          <w:p>
            <w:r>
              <w:t>用途</w:t>
            </w:r>
          </w:p>
        </w:tc>
      </w:tr>
      <w:tr>
        <w:tc>
          <w:tcPr>
            <w:tcW w:type="dxa" w:w="2268"/>
          </w:tcPr>
          <w:p>
            <w:r>
              <w:t>学生常见错误</w:t>
            </w:r>
          </w:p>
        </w:tc>
        <w:tc>
          <w:tcPr>
            <w:tcW w:type="dxa" w:w="2268"/>
          </w:tcPr>
          <w:p>
            <w:r>
              <w:t>红色 #C00000</w:t>
            </w:r>
          </w:p>
        </w:tc>
        <w:tc>
          <w:tcPr>
            <w:tcW w:type="dxa" w:w="2268"/>
          </w:tcPr>
          <w:p>
            <w:r>
              <w:t>Alt+Shift+P</w:t>
            </w:r>
          </w:p>
        </w:tc>
        <w:tc>
          <w:tcPr>
            <w:tcW w:type="dxa" w:w="2268"/>
          </w:tcPr>
          <w:p>
            <w:r>
              <w:t>警示学生可能犯的错误</w:t>
            </w:r>
          </w:p>
        </w:tc>
      </w:tr>
      <w:tr>
        <w:tc>
          <w:tcPr>
            <w:tcW w:type="dxa" w:w="2268"/>
          </w:tcPr>
          <w:p>
            <w:r>
              <w:t>待补充内容</w:t>
            </w:r>
          </w:p>
        </w:tc>
        <w:tc>
          <w:tcPr>
            <w:tcW w:type="dxa" w:w="2268"/>
          </w:tcPr>
          <w:p>
            <w:r>
              <w:t>黄色 #BF8F00</w:t>
            </w:r>
          </w:p>
        </w:tc>
        <w:tc>
          <w:tcPr>
            <w:tcW w:type="dxa" w:w="2268"/>
          </w:tcPr>
          <w:p>
            <w:r>
              <w:t>Alt+Shift+T</w:t>
            </w:r>
          </w:p>
        </w:tc>
        <w:tc>
          <w:tcPr>
            <w:tcW w:type="dxa" w:w="2268"/>
          </w:tcPr>
          <w:p>
            <w:r>
              <w:t>标记需要补充的地方</w:t>
            </w:r>
          </w:p>
        </w:tc>
      </w:tr>
      <w:tr>
        <w:tc>
          <w:tcPr>
            <w:tcW w:type="dxa" w:w="2268"/>
          </w:tcPr>
          <w:p>
            <w:r>
              <w:t>优秀示例</w:t>
            </w:r>
          </w:p>
        </w:tc>
        <w:tc>
          <w:tcPr>
            <w:tcW w:type="dxa" w:w="2268"/>
          </w:tcPr>
          <w:p>
            <w:r>
              <w:t>绿色 #00B050</w:t>
            </w:r>
          </w:p>
        </w:tc>
        <w:tc>
          <w:tcPr>
            <w:tcW w:type="dxa" w:w="2268"/>
          </w:tcPr>
          <w:p>
            <w:r>
              <w:t>Alt+Shift+G</w:t>
            </w:r>
          </w:p>
        </w:tc>
        <w:tc>
          <w:tcPr>
            <w:tcW w:type="dxa" w:w="2268"/>
          </w:tcPr>
          <w:p>
            <w:r>
              <w:t>高亮写得好的地方</w:t>
            </w:r>
          </w:p>
        </w:tc>
      </w:tr>
      <w:tr>
        <w:tc>
          <w:tcPr>
            <w:tcW w:type="dxa" w:w="2268"/>
          </w:tcPr>
          <w:p>
            <w:r>
              <w:t>老师评语</w:t>
            </w:r>
          </w:p>
        </w:tc>
        <w:tc>
          <w:tcPr>
            <w:tcW w:type="dxa" w:w="2268"/>
          </w:tcPr>
          <w:p>
            <w:r>
              <w:t>蓝色 #2E75B6</w:t>
            </w:r>
          </w:p>
        </w:tc>
        <w:tc>
          <w:tcPr>
            <w:tcW w:type="dxa" w:w="2268"/>
          </w:tcPr>
          <w:p>
            <w:r>
              <w:t>Alt+Shift+C</w:t>
            </w:r>
          </w:p>
        </w:tc>
        <w:tc>
          <w:tcPr>
            <w:tcW w:type="dxa" w:w="2268"/>
          </w:tcPr>
          <w:p>
            <w:r>
              <w:t>老师打分/总评</w:t>
            </w:r>
          </w:p>
        </w:tc>
      </w:tr>
    </w:tbl>
    <w:p>
      <w:pPr>
        <w:spacing w:before="240" w:after="120" w:line="240" w:lineRule="auto"/>
      </w:pPr>
      <w:r>
        <w:rPr>
          <w:rFonts w:ascii="Times New Roman" w:hAnsi="Times New Roman" w:eastAsia="黑体"/>
          <w:b/>
          <w:sz w:val="32"/>
        </w:rPr>
        <w:t>2. VBA 宏导入步骤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4"/>
        </w:rPr>
        <w:t>（1）打开 Word → 按 Alt+F11 打开 VBA 编辑器；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4"/>
        </w:rPr>
        <w:t>（2）菜单 文件 → 导入文件 → 选择 vba/ThesisTemplate.bas；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4"/>
        </w:rPr>
        <w:t>（3）回到 Word 按 Alt+F8 运行 SetShortcuts 宏，自动绑定快捷键；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4"/>
        </w:rPr>
        <w:t>（4）选中文字 → 按 Alt+Shift+P 插入红色 pitfall 框；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4"/>
        </w:rPr>
        <w:t>（5）按 Ctrl+Shift+H 可一键隐藏/显示所有诊断框。</w:t>
      </w:r>
    </w:p>
    <w:p>
      <w:pPr>
        <w:spacing w:before="240" w:after="120" w:line="240" w:lineRule="auto"/>
      </w:pPr>
      <w:r>
        <w:rPr>
          <w:rFonts w:ascii="Times New Roman" w:hAnsi="Times New Roman" w:eastAsia="黑体"/>
          <w:b/>
          <w:sz w:val="32"/>
        </w:rPr>
        <w:t>3. 自定义样式（可选）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4"/>
        </w:rPr>
        <w:t>如需将诊断框定义为 Word 内置样式：开始 → 样式窗格 → 新建样式 → 命名（如"学生常见错误"）→ 设置楷体小四 + 红色 1.5pt 边框 + 浅红 #FFEBEB 底纹。详见 Word_Style_Spec.md。</w:t>
      </w:r>
    </w:p>
    <w:p>
      <w:r>
        <w:br w:type="page"/>
      </w:r>
    </w:p>
    <w:p>
      <w:pPr>
        <w:spacing w:before="480" w:after="360" w:line="240" w:lineRule="auto"/>
        <w:jc w:val="center"/>
      </w:pPr>
      <w:r>
        <w:rPr>
          <w:rFonts w:ascii="Times New Roman" w:hAnsi="Times New Roman" w:eastAsia="黑体"/>
          <w:b/>
          <w:sz w:val="44"/>
        </w:rPr>
        <w:t>摘 要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4"/>
        </w:rPr>
        <w:t>随着工业互联网与人工智能技术的快速发展，SCADA 系统作为国家关键基础设施的神经中枢，正面临日益严峻的网络安全挑战。现有的入侵检测研究多沿用通用网络入侵特征，缺乏对 Modbus 等 SCADA 协议语义的专门建模；同时，深度学习模型在该任务上尚未稳定超越 LightGBM 等树模型；面向 MCU 等受限设备的部署研究也相对不足。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4"/>
        </w:rPr>
        <w:t>针对上述问题，本文以 IanArffDataset 数据集为研究对象，开展从数据特征、模型架构到边缘部署的全栈研究，主要工作与创新点如下：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4"/>
        </w:rPr>
        <w:t>（1）基于 SCADA 协议语义的领域特征工程。分析 Modbus 4 行主-从交互结构，提出 27 维协议语义特征（17 维原始 + 3 维行级 + 8 维窗口级），使所有模型 Macro-F1 一致提升 0.2—0.7 个百分点。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4"/>
        </w:rPr>
        <w:t>（2）TCN-SE 轻量入侵检测模型。在 27 种时序模型的横向对比基础上，融合 SE 通道注意力，TCN-SE 在测试集取得 Macro-F1 = 0.8340，首次在该任务上超越 LightGBM。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4"/>
        </w:rPr>
        <w:t>（3）面向 MCU 的极限压缩与混合精度量化。提出 4,237 参数的 TCN V19 变体与权重 INT8 / 激活 FP32 混合方案，在 Cortex-M4 平台上实现 5.5 KB 模型、0.47 ms 推理。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4"/>
        </w:rPr>
        <w:t>关键词：SCADA 入侵检测；时序卷积网络；通道注意力；模型压缩；混合精度量化；边缘部署</w:t>
      </w:r>
    </w:p>
    <w:p>
      <w:r>
        <w:br w:type="page"/>
      </w:r>
    </w:p>
    <w:p>
      <w:pPr>
        <w:spacing w:before="480" w:after="360" w:line="240" w:lineRule="auto"/>
        <w:jc w:val="center"/>
      </w:pPr>
      <w:r>
        <w:rPr>
          <w:rFonts w:ascii="Times New Roman" w:hAnsi="Times New Roman" w:eastAsia="黑体"/>
          <w:b/>
          <w:sz w:val="44"/>
        </w:rPr>
        <w:t>目 录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（使用 Word 引用 → 目录 → 自动目录功能生成；显示级别 3）</w:t>
      </w:r>
    </w:p>
    <w:p>
      <w:r>
        <w:br w:type="page"/>
      </w:r>
    </w:p>
    <w:p>
      <w:pPr>
        <w:spacing w:before="480" w:after="360" w:line="240" w:lineRule="auto"/>
        <w:jc w:val="center"/>
      </w:pPr>
      <w:r>
        <w:rPr>
          <w:rFonts w:ascii="Times New Roman" w:hAnsi="Times New Roman" w:eastAsia="黑体"/>
          <w:b/>
          <w:sz w:val="44"/>
        </w:rPr>
        <w:t>第 1 章 绪 论</w:t>
      </w:r>
    </w:p>
    <w:p>
      <w:pPr>
        <w:spacing w:before="240" w:after="120" w:line="240" w:lineRule="auto"/>
      </w:pPr>
      <w:r>
        <w:rPr>
          <w:rFonts w:ascii="Times New Roman" w:hAnsi="Times New Roman" w:eastAsia="黑体"/>
          <w:b/>
          <w:sz w:val="32"/>
        </w:rPr>
        <w:t>1.1 研究背景与意义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tcBorders>
              <w:top w:val="single" w:sz="12" w:color="C00000"/>
              <w:left w:val="single" w:sz="12" w:color="C00000"/>
              <w:bottom w:val="single" w:sz="12" w:color="C00000"/>
              <w:right w:val="single" w:sz="12" w:color="C00000"/>
            </w:tcBorders>
            <w:shd w:val="clear" w:color="auto" w:fill="FFEBEB"/>
          </w:tcPr>
          <w:p>
            <w:pPr>
              <w:spacing w:before="60" w:after="60" w:line="312" w:lineRule="auto"/>
              <w:ind w:left="113"/>
            </w:pPr>
            <w:r>
              <w:rPr>
                <w:rFonts w:ascii="Times New Roman" w:hAnsi="Times New Roman" w:eastAsia="楷体"/>
                <w:sz w:val="21"/>
              </w:rPr>
              <w:t>⚠️ 【学生常见错误 P-1.1】  数据无出处。学生常引"据统计"、"研究表明"等模糊表述，无可追溯的数据来源。</w:t>
            </w:r>
          </w:p>
        </w:tc>
      </w:tr>
    </w:tbl>
    <w:p/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4"/>
        </w:rPr>
        <w:t>随着工业互联网（Industrial Internet of Things, IIoT）与人工智能技术的快速发展，SCADA（Supervisory Control and Data Acquisition，监控与数据采集）系统作为国家关键基础设施的神经中枢，正面临日益严峻的网络安全挑战 [1]。根据国家工业信息安全发展研究中心发布的报告，2024 年全球工业领域网络攻击事件同比增长 27%，其中针对能源、水务等 SCADA 系统的定向攻击占比超过 35%。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4"/>
        </w:rPr>
        <w:t>SCADA 系统广泛应用于燃气管道、电力调度、轨道交通、自来水处理等关键领域，其安全性直接关系到国计民生与公共安全。2010 年伊朗"震网"病毒、2015 年乌克兰电网攻击、2021 年美国 Colonial Pipeline 输油管道勒索事件，无一不揭示了 SCADA 系统一旦失守可能造成的灾难性后果。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tcBorders>
              <w:top w:val="single" w:sz="12" w:color="00B050"/>
              <w:left w:val="single" w:sz="12" w:color="00B050"/>
              <w:bottom w:val="single" w:sz="12" w:color="00B050"/>
              <w:right w:val="single" w:sz="12" w:color="00B050"/>
            </w:tcBorders>
            <w:shd w:val="clear" w:color="auto" w:fill="E2EFDA"/>
          </w:tcPr>
          <w:p>
            <w:pPr>
              <w:spacing w:before="60" w:after="60" w:line="312" w:lineRule="auto"/>
              <w:ind w:left="113"/>
            </w:pPr>
            <w:r>
              <w:rPr>
                <w:rFonts w:ascii="Times New Roman" w:hAnsi="Times New Roman" w:eastAsia="楷体"/>
                <w:sz w:val="21"/>
              </w:rPr>
              <w:t>✓ 【优秀示例 G-1.1】  本段使用"震网"、"乌克兰电网"、"Colonial Pipeline"三个递进案例，从国家→地区→企业层面论证，逻辑递进清晰。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tcBorders>
              <w:top w:val="single" w:sz="12" w:color="BF8F00"/>
              <w:left w:val="single" w:sz="12" w:color="BF8F00"/>
              <w:bottom w:val="single" w:sz="12" w:color="BF8F00"/>
              <w:right w:val="single" w:sz="12" w:color="BF8F00"/>
            </w:tcBorders>
            <w:shd w:val="clear" w:color="auto" w:fill="FFFACD"/>
          </w:tcPr>
          <w:p>
            <w:pPr>
              <w:spacing w:before="60" w:after="60" w:line="312" w:lineRule="auto"/>
              <w:ind w:left="113"/>
            </w:pPr>
            <w:r>
              <w:rPr>
                <w:rFonts w:ascii="Times New Roman" w:hAnsi="Times New Roman" w:eastAsia="楷体"/>
                <w:sz w:val="21"/>
              </w:rPr>
              <w:t>📝 【待补充（学生） T-1.1】  增加 1-2 个中文案例，如"2020 年某省电网工控系统入侵事件"。</w:t>
            </w:r>
          </w:p>
        </w:tc>
      </w:tr>
    </w:tbl>
    <w:p/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4"/>
        </w:rPr>
        <w:t>在此背景下，入侵检测（Intrusion Detection System, IDS）作为 SCADA 安全的最后一道防线，已成为学术界与工业界共同关注的研究热点。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tcBorders>
              <w:top w:val="single" w:sz="12" w:color="C00000"/>
              <w:left w:val="single" w:sz="12" w:color="C00000"/>
              <w:bottom w:val="single" w:sz="12" w:color="C00000"/>
              <w:right w:val="single" w:sz="12" w:color="C00000"/>
            </w:tcBorders>
            <w:shd w:val="clear" w:color="auto" w:fill="FFEBEB"/>
          </w:tcPr>
          <w:p>
            <w:pPr>
              <w:spacing w:before="60" w:after="60" w:line="312" w:lineRule="auto"/>
              <w:ind w:left="113"/>
            </w:pPr>
            <w:r>
              <w:rPr>
                <w:rFonts w:ascii="Times New Roman" w:hAnsi="Times New Roman" w:eastAsia="楷体"/>
                <w:sz w:val="21"/>
              </w:rPr>
              <w:t>⚠️ 【学生常见错误 P-0.5】  摘要写成"引言缩写"。本章第一节是背景，不是摘要副本；摘要应单独有四段式结构。</w:t>
            </w:r>
          </w:p>
        </w:tc>
      </w:tr>
    </w:tbl>
    <w:p/>
    <w:p>
      <w:pPr>
        <w:spacing w:before="240" w:after="120" w:line="240" w:lineRule="auto"/>
      </w:pPr>
      <w:r>
        <w:rPr>
          <w:rFonts w:ascii="Times New Roman" w:hAnsi="Times New Roman" w:eastAsia="黑体"/>
          <w:b/>
          <w:sz w:val="32"/>
        </w:rPr>
        <w:t>1.2 国内外研究现状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tcBorders>
              <w:top w:val="single" w:sz="12" w:color="C00000"/>
              <w:left w:val="single" w:sz="12" w:color="C00000"/>
              <w:bottom w:val="single" w:sz="12" w:color="C00000"/>
              <w:right w:val="single" w:sz="12" w:color="C00000"/>
            </w:tcBorders>
            <w:shd w:val="clear" w:color="auto" w:fill="FFEBEB"/>
          </w:tcPr>
          <w:p>
            <w:pPr>
              <w:spacing w:before="60" w:after="60" w:line="312" w:lineRule="auto"/>
              <w:ind w:left="113"/>
            </w:pPr>
            <w:r>
              <w:rPr>
                <w:rFonts w:ascii="Times New Roman" w:hAnsi="Times New Roman" w:eastAsia="楷体"/>
                <w:sz w:val="21"/>
              </w:rPr>
              <w:t>⚠️ 【学生常见错误 P-1.2】  文献堆砌。学生常罗列 20+ 篇文献却不评价。建议：每段文献综述末尾必须有 1 句评价。</w:t>
            </w:r>
          </w:p>
        </w:tc>
      </w:tr>
    </w:tbl>
    <w:p/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4"/>
        </w:rPr>
        <w:t>现有 SCADA 入侵检测研究大致可分为三类：基于规则与签名的方法、基于传统机器学习的方法、基于深度学习的方法。</w:t>
      </w:r>
    </w:p>
    <w:p>
      <w:pPr>
        <w:spacing w:before="120" w:after="60" w:line="240" w:lineRule="auto"/>
      </w:pPr>
      <w:r>
        <w:rPr>
          <w:rFonts w:ascii="Times New Roman" w:hAnsi="Times New Roman" w:eastAsia="黑体"/>
          <w:b/>
          <w:sz w:val="30"/>
        </w:rPr>
        <w:t>1.2.1 基于规则与签名的方法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4"/>
        </w:rPr>
        <w:t>早期研究多采用专家系统与特征库匹配 [4]。该方法对已知攻击检测准确率高、可解释性强，但完全依赖人工维护规则库，对未知攻击（zero-day）几乎无能为力。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tcBorders>
              <w:top w:val="single" w:sz="12" w:color="00B050"/>
              <w:left w:val="single" w:sz="12" w:color="00B050"/>
              <w:bottom w:val="single" w:sz="12" w:color="00B050"/>
              <w:right w:val="single" w:sz="12" w:color="00B050"/>
            </w:tcBorders>
            <w:shd w:val="clear" w:color="auto" w:fill="E2EFDA"/>
          </w:tcPr>
          <w:p>
            <w:pPr>
              <w:spacing w:before="60" w:after="60" w:line="312" w:lineRule="auto"/>
              <w:ind w:left="113"/>
            </w:pPr>
            <w:r>
              <w:rPr>
                <w:rFonts w:ascii="Times New Roman" w:hAnsi="Times New Roman" w:eastAsia="楷体"/>
                <w:sz w:val="21"/>
              </w:rPr>
              <w:t>✓ 【优秀示例 G-1.2】  末句评价指出局限性，自然引出下一小节。</w:t>
            </w:r>
          </w:p>
        </w:tc>
      </w:tr>
    </w:tbl>
    <w:p/>
    <w:p>
      <w:pPr>
        <w:spacing w:before="120" w:after="60" w:line="240" w:lineRule="auto"/>
      </w:pPr>
      <w:r>
        <w:rPr>
          <w:rFonts w:ascii="Times New Roman" w:hAnsi="Times New Roman" w:eastAsia="黑体"/>
          <w:b/>
          <w:sz w:val="30"/>
        </w:rPr>
        <w:t>1.2.2 基于传统机器学习的方法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4"/>
        </w:rPr>
        <w:t>随着 KDD Cup 99、NSL-KDD、UNSW-NB15 等入侵检测基准数据集的发布，基于传统机器学习的方法成为研究主流。支持向量机 [5]、随机森林 [6]、XGBoost [7]、LightGBM [11] 等模型在多个数据集上取得了 F1 ≥ 0.85 的检测性能。其中 LightGBM 凭借直方图加速与 leaf-wise 生长策略，在工业级数据上展现出显著优势。</w:t>
      </w:r>
    </w:p>
    <w:p>
      <w:pPr>
        <w:spacing w:before="120" w:after="60" w:line="240" w:lineRule="auto"/>
      </w:pPr>
      <w:r>
        <w:rPr>
          <w:rFonts w:ascii="Times New Roman" w:hAnsi="Times New Roman" w:eastAsia="黑体"/>
          <w:b/>
          <w:sz w:val="30"/>
        </w:rPr>
        <w:t>1.2.3 基于深度学习的方法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tcBorders>
              <w:top w:val="single" w:sz="12" w:color="C00000"/>
              <w:left w:val="single" w:sz="12" w:color="C00000"/>
              <w:bottom w:val="single" w:sz="12" w:color="C00000"/>
              <w:right w:val="single" w:sz="12" w:color="C00000"/>
            </w:tcBorders>
            <w:shd w:val="clear" w:color="auto" w:fill="FFEBEB"/>
          </w:tcPr>
          <w:p>
            <w:pPr>
              <w:spacing w:before="60" w:after="60" w:line="312" w:lineRule="auto"/>
              <w:ind w:left="113"/>
            </w:pPr>
            <w:r>
              <w:rPr>
                <w:rFonts w:ascii="Times New Roman" w:hAnsi="Times New Roman" w:eastAsia="楷体"/>
                <w:sz w:val="21"/>
              </w:rPr>
              <w:t>⚠️ 【学生常见错误 P-1.3】  缺乏协议层切入。这是本领域最大空白。SCADA 与传统 IT 网络的根本区别在协议层；学生若不强调"协议语义"，会和通用 IDS 论文混为一谈。</w:t>
            </w:r>
          </w:p>
        </w:tc>
      </w:tr>
    </w:tbl>
    <w:p/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4"/>
        </w:rPr>
        <w:t>近年来，深度学习在时序建模领域的突破为入侵检测带来了新思路。文献 [8] 首次将 1D-CNN 应用于网络流量分类，取得了比 SVM 高 3% 的准确率；文献 [9] 提出 LSTM-IDS，利用长短期记忆网络捕捉时序依赖；文献 [10] 进一步引入注意力机制，在多个公开数据集上达到 SOTA。然而，上述工作大多基于通用网络入侵数据集（KDD/NSL-KDD/UNSW-NB15），鲜有针对 SCADA 协议语义（如 Modbus、DNP3）的专门优化。</w:t>
      </w:r>
    </w:p>
    <w:p>
      <w:pPr>
        <w:spacing w:before="240" w:after="120" w:line="240" w:lineRule="auto"/>
      </w:pPr>
      <w:r>
        <w:rPr>
          <w:rFonts w:ascii="Times New Roman" w:hAnsi="Times New Roman" w:eastAsia="黑体"/>
          <w:b/>
          <w:sz w:val="32"/>
        </w:rPr>
        <w:t>1.3 现有研究不足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4"/>
        </w:rPr>
        <w:t>综合分析国内外研究现状，当前 SCADA 入侵检测领域存在以下不足：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tcBorders>
              <w:top w:val="single" w:sz="12" w:color="00B050"/>
              <w:left w:val="single" w:sz="12" w:color="00B050"/>
              <w:bottom w:val="single" w:sz="12" w:color="00B050"/>
              <w:right w:val="single" w:sz="12" w:color="00B050"/>
            </w:tcBorders>
            <w:shd w:val="clear" w:color="auto" w:fill="E2EFDA"/>
          </w:tcPr>
          <w:p>
            <w:pPr>
              <w:spacing w:before="60" w:after="60" w:line="312" w:lineRule="auto"/>
              <w:ind w:left="113"/>
            </w:pPr>
            <w:r>
              <w:rPr>
                <w:rFonts w:ascii="Times New Roman" w:hAnsi="Times New Roman" w:eastAsia="楷体"/>
                <w:sz w:val="21"/>
              </w:rPr>
              <w:t>✓ 【优秀示例 G-1.3】  三个"不足"恰好对应后文三个"创新点"——这是 1:1 映射的最佳实践。</w:t>
            </w:r>
          </w:p>
        </w:tc>
      </w:tr>
    </w:tbl>
    <w:p/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4"/>
        </w:rPr>
        <w:t>1. 特征体系缺乏协议语义：现有研究多沿用通用网络入侵特征，未充分利用 Modbus 主-从交互结构等协议层先验；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4"/>
        </w:rPr>
        <w:t>2. 深度学习模型未稳定超越树模型：在多个公开数据集上，LightGBM / XGBoost 仍占据 SOTA，DL 的优势尚未充分释放；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4"/>
        </w:rPr>
        <w:t>3. 模型部署可行性研究不足：现有工作多报告 GPU 推理延迟，对 MCU/PLC 等受限设备的部署研究较少。</w:t>
      </w:r>
    </w:p>
    <w:p>
      <w:pPr>
        <w:spacing w:before="240" w:after="120" w:line="240" w:lineRule="auto"/>
      </w:pPr>
      <w:r>
        <w:rPr>
          <w:rFonts w:ascii="Times New Roman" w:hAnsi="Times New Roman" w:eastAsia="黑体"/>
          <w:b/>
          <w:sz w:val="32"/>
        </w:rPr>
        <w:t>1.4 研究内容与创新点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tcBorders>
              <w:top w:val="single" w:sz="12" w:color="C00000"/>
              <w:left w:val="single" w:sz="12" w:color="C00000"/>
              <w:bottom w:val="single" w:sz="12" w:color="C00000"/>
              <w:right w:val="single" w:sz="12" w:color="C00000"/>
            </w:tcBorders>
            <w:shd w:val="clear" w:color="auto" w:fill="FFEBEB"/>
          </w:tcPr>
          <w:p>
            <w:pPr>
              <w:spacing w:before="60" w:after="60" w:line="312" w:lineRule="auto"/>
              <w:ind w:left="113"/>
            </w:pPr>
            <w:r>
              <w:rPr>
                <w:rFonts w:ascii="Times New Roman" w:hAnsi="Times New Roman" w:eastAsia="楷体"/>
                <w:sz w:val="21"/>
              </w:rPr>
              <w:t>⚠️ 【学生常见错误 P-1.4】  创新点无量化数据。"创新点"是论文最核心的部分，但学生常写成"提出了一种新方法"——必须每个创新点都有可量化的指标提升。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tcBorders>
              <w:top w:val="single" w:sz="12" w:color="C00000"/>
              <w:left w:val="single" w:sz="12" w:color="C00000"/>
              <w:bottom w:val="single" w:sz="12" w:color="C00000"/>
              <w:right w:val="single" w:sz="12" w:color="C00000"/>
            </w:tcBorders>
            <w:shd w:val="clear" w:color="auto" w:fill="FFEBEB"/>
          </w:tcPr>
          <w:p>
            <w:pPr>
              <w:spacing w:before="60" w:after="60" w:line="312" w:lineRule="auto"/>
              <w:ind w:left="113"/>
            </w:pPr>
            <w:r>
              <w:rPr>
                <w:rFonts w:ascii="Times New Roman" w:hAnsi="Times New Roman" w:eastAsia="楷体"/>
                <w:sz w:val="21"/>
              </w:rPr>
              <w:t>⚠️ 【学生常见错误 P-1.5】  创新点对应关系模糊。"对应第 X 章"必须明确写出，且在第 X 章开头必须有"本章对应创新点 N"的回指。</w:t>
            </w:r>
          </w:p>
        </w:tc>
      </w:tr>
    </w:tbl>
    <w:p/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4"/>
        </w:rPr>
        <w:t>针对上述不足，本文以 IanArffDataset 数据集为研究对象，开展从数据特征、模型架构到边缘部署的全栈研究，主要创新点如下：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4"/>
        </w:rPr>
        <w:t>1. 基于 SCADA 协议语义的领域特征工程（对应第 3 章）。分析 Modbus 4 行主-从交互结构，提出 27 维协议语义特征，使所有模型 Macro-F1 一致提升 0.2—0.7 个百分点；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4"/>
        </w:rPr>
        <w:t>2. TCN-SE 轻量入侵检测模型（对应第 4 章）。在 27 种时序模型的横向对比基础上，融合 SE 通道注意力，TCN-SE 在测试集取得 Macro-F1 = 0.8340，首次在该任务上超越 LightGBM；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4"/>
        </w:rPr>
        <w:t>3. 面向 MCU 的极限压缩与混合精度量化（对应第 5 章）。提出 4,237 参数的 TCN V19 变体与权重 INT8 / 激活 FP32 混合方案，在 Cortex-M4 平台上实现 5.5 KB 模型、0.47 ms 推理。</w:t>
      </w:r>
    </w:p>
    <w:p>
      <w:pPr>
        <w:spacing w:before="240" w:after="120" w:line="240" w:lineRule="auto"/>
      </w:pPr>
      <w:r>
        <w:rPr>
          <w:rFonts w:ascii="Times New Roman" w:hAnsi="Times New Roman" w:eastAsia="黑体"/>
          <w:b/>
          <w:sz w:val="32"/>
        </w:rPr>
        <w:t>1.5 论文组织结构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tcBorders>
              <w:top w:val="single" w:sz="12" w:color="00B050"/>
              <w:left w:val="single" w:sz="12" w:color="00B050"/>
              <w:bottom w:val="single" w:sz="12" w:color="00B050"/>
              <w:right w:val="single" w:sz="12" w:color="00B050"/>
            </w:tcBorders>
            <w:shd w:val="clear" w:color="auto" w:fill="E2EFDA"/>
          </w:tcPr>
          <w:p>
            <w:pPr>
              <w:spacing w:before="60" w:after="60" w:line="312" w:lineRule="auto"/>
              <w:ind w:left="113"/>
            </w:pPr>
            <w:r>
              <w:rPr>
                <w:rFonts w:ascii="Times New Roman" w:hAnsi="Times New Roman" w:eastAsia="楷体"/>
                <w:sz w:val="21"/>
              </w:rPr>
              <w:t>✓ 【优秀示例 G-1.5】  每章一句话点明"做什么"，避免冗长。</w:t>
            </w:r>
          </w:p>
        </w:tc>
      </w:tr>
    </w:tbl>
    <w:p/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4"/>
        </w:rPr>
        <w:t>本文章节安排如下：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4"/>
        </w:rPr>
        <w:t>第 1 章 绪论：介绍研究背景、国内外现状与本文创新点；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4"/>
        </w:rPr>
        <w:t>第 2 章 相关理论与技术基础：SCADA 入侵检测任务定义、TCN 与注意力机制原理、量化基础；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4"/>
        </w:rPr>
        <w:t>第 3 章 SCADA 协议特征工程：详细阐述 27 维特征的设计动机与对比实验；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4"/>
        </w:rPr>
        <w:t>第 4 章 TCN-SE 入侵检测模型：模型架构、27 模型横评、消融实验；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4"/>
        </w:rPr>
        <w:t>第 5 章 极限压缩与混合精度量化：V19 变体设计、INT8 量化方案、MCU 部署实测；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4"/>
        </w:rPr>
        <w:t>第 6 章 总结与展望。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tcBorders>
              <w:top w:val="single" w:sz="12" w:color="2E75B6"/>
              <w:left w:val="single" w:sz="12" w:color="2E75B6"/>
              <w:bottom w:val="single" w:sz="12" w:color="2E75B6"/>
              <w:right w:val="single" w:sz="12" w:color="2E75B6"/>
            </w:tcBorders>
            <w:shd w:val="clear" w:color="auto" w:fill="EBF5FF"/>
          </w:tcPr>
          <w:p>
            <w:pPr>
              <w:spacing w:before="60" w:after="60" w:line="312" w:lineRule="auto"/>
              <w:ind w:left="113"/>
            </w:pPr>
            <w:r>
              <w:rPr>
                <w:rFonts w:ascii="Times New Roman" w:hAnsi="Times New Roman" w:eastAsia="楷体"/>
                <w:sz w:val="21"/>
              </w:rPr>
              <w:t>✏️ 【老师评语 A】  第 1 章基本结构完整，创新点量化指标清晰。但 1.1 节案例可增加 1 个中文事件；1.2 节末缺少对各方法的统一对比表（建议增加表 1-1）。</w:t>
            </w:r>
          </w:p>
        </w:tc>
      </w:tr>
    </w:tbl>
    <w:p/>
    <w:p>
      <w:r>
        <w:br w:type="page"/>
      </w:r>
    </w:p>
    <w:p>
      <w:pPr>
        <w:spacing w:before="480" w:after="360" w:line="240" w:lineRule="auto"/>
        <w:jc w:val="center"/>
      </w:pPr>
      <w:r>
        <w:rPr>
          <w:rFonts w:ascii="Times New Roman" w:hAnsi="Times New Roman" w:eastAsia="黑体"/>
          <w:b/>
          <w:sz w:val="44"/>
        </w:rPr>
        <w:t>第 2 章 相关理论与技术基础</w:t>
      </w:r>
    </w:p>
    <w:p>
      <w:pPr>
        <w:spacing w:before="240" w:after="120" w:line="240" w:lineRule="auto"/>
      </w:pPr>
      <w:r>
        <w:rPr>
          <w:rFonts w:ascii="Times New Roman" w:hAnsi="Times New Roman" w:eastAsia="黑体"/>
          <w:b/>
          <w:sz w:val="32"/>
        </w:rPr>
        <w:t>2.1 SCADA 系统与入侵检测任务定义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4"/>
        </w:rPr>
        <w:t>SCADA 系统由主站（Master）、从站（Slave）、通信链路与人机界面（HMI）组成。本文中入侵检测任务被形式化为：给定连续 8 个时间步的 27 维特征序列，预测下一时刻是否为攻击行为。</w:t>
      </w:r>
    </w:p>
    <w:p>
      <w:pPr>
        <w:spacing w:before="240" w:after="120" w:line="240" w:lineRule="auto"/>
      </w:pPr>
      <w:r>
        <w:rPr>
          <w:rFonts w:ascii="Times New Roman" w:hAnsi="Times New Roman" w:eastAsia="黑体"/>
          <w:b/>
          <w:sz w:val="32"/>
        </w:rPr>
        <w:t>2.2 时序卷积网络（TCN）</w:t>
      </w:r>
    </w:p>
    <w:p>
      <w:pPr>
        <w:spacing w:before="120" w:after="60" w:line="240" w:lineRule="auto"/>
      </w:pPr>
      <w:r>
        <w:rPr>
          <w:rFonts w:ascii="Times New Roman" w:hAnsi="Times New Roman" w:eastAsia="黑体"/>
          <w:b/>
          <w:sz w:val="30"/>
        </w:rPr>
        <w:t>2.2.1 因果卷积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4"/>
        </w:rPr>
        <w:t>因果卷积保证时刻 t 的输出仅依赖 t 及之前的输入，避免信息泄露。</w:t>
      </w:r>
    </w:p>
    <w:p>
      <w:pPr>
        <w:spacing w:before="120" w:after="60" w:line="240" w:lineRule="auto"/>
      </w:pPr>
      <w:r>
        <w:rPr>
          <w:rFonts w:ascii="Times New Roman" w:hAnsi="Times New Roman" w:eastAsia="黑体"/>
          <w:b/>
          <w:sz w:val="30"/>
        </w:rPr>
        <w:t>2.2.2 膨胀卷积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4"/>
        </w:rPr>
        <w:t>膨胀卷积以指数扩张的膨胀率扩大感受野，可在不增加参数的情况下捕获长程依赖 [12]。</w:t>
      </w:r>
    </w:p>
    <w:p>
      <w:pPr>
        <w:spacing w:before="240" w:after="120" w:line="240" w:lineRule="auto"/>
      </w:pPr>
      <w:r>
        <w:rPr>
          <w:rFonts w:ascii="Times New Roman" w:hAnsi="Times New Roman" w:eastAsia="黑体"/>
          <w:b/>
          <w:sz w:val="32"/>
        </w:rPr>
        <w:t>2.3 通道注意力机制（SE-Net）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4"/>
        </w:rPr>
        <w:t>SE-Net 通过 Squeeze（全局平均池化）与 Excitation（两层全连接 + Sigmoid）两步，自适应地学习通道权重 [13]。本文将其嵌入 TCN 残差块，称为 TCN-SE。</w:t>
      </w:r>
    </w:p>
    <w:p>
      <w:pPr>
        <w:spacing w:before="240" w:after="120" w:line="240" w:lineRule="auto"/>
      </w:pPr>
      <w:r>
        <w:rPr>
          <w:rFonts w:ascii="Times New Roman" w:hAnsi="Times New Roman" w:eastAsia="黑体"/>
          <w:b/>
          <w:sz w:val="32"/>
        </w:rPr>
        <w:t>2.4 模型量化基础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4"/>
        </w:rPr>
        <w:t>模型量化将 32-bit 浮点参数映射为低 bit 整数。INT8 量化可将模型大小压缩 4 倍，但全 INT8 在 ARM Cortex-M 上反而因缺少专用指令导致推理变慢 [14]。本文采用权重 INT8 + 激活 FP32 的混合方案，兼顾压缩率与速度。</w:t>
      </w:r>
    </w:p>
    <w:p>
      <w:r>
        <w:br w:type="page"/>
      </w:r>
    </w:p>
    <w:p>
      <w:pPr>
        <w:spacing w:before="480" w:after="360" w:line="240" w:lineRule="auto"/>
        <w:jc w:val="center"/>
      </w:pPr>
      <w:r>
        <w:rPr>
          <w:rFonts w:ascii="Times New Roman" w:hAnsi="Times New Roman" w:eastAsia="黑体"/>
          <w:b/>
          <w:sz w:val="44"/>
        </w:rPr>
        <w:t>第 3 章 SCADA 协议特征工程</w:t>
      </w:r>
    </w:p>
    <w:p>
      <w:pPr>
        <w:spacing w:before="240" w:after="120" w:line="240" w:lineRule="auto"/>
      </w:pPr>
      <w:r>
        <w:rPr>
          <w:rFonts w:ascii="Times New Roman" w:hAnsi="Times New Roman" w:eastAsia="黑体"/>
          <w:b/>
          <w:sz w:val="32"/>
        </w:rPr>
        <w:t>3.1 Modbus 协议主-从交互分析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tcBorders>
              <w:top w:val="single" w:sz="12" w:color="C00000"/>
              <w:left w:val="single" w:sz="12" w:color="C00000"/>
              <w:bottom w:val="single" w:sz="12" w:color="C00000"/>
              <w:right w:val="single" w:sz="12" w:color="C00000"/>
            </w:tcBorders>
            <w:shd w:val="clear" w:color="auto" w:fill="FFEBEB"/>
          </w:tcPr>
          <w:p>
            <w:pPr>
              <w:spacing w:before="60" w:after="60" w:line="312" w:lineRule="auto"/>
              <w:ind w:left="113"/>
            </w:pPr>
            <w:r>
              <w:rPr>
                <w:rFonts w:ascii="Times New Roman" w:hAnsi="Times New Roman" w:eastAsia="楷体"/>
                <w:sz w:val="21"/>
              </w:rPr>
              <w:t>⚠️ 【学生常见错误 P-3.1】  无基线对比。本章每张表必须同时报告"原始特征"、"新特征"、"新特征 - 原始"三列。</w:t>
            </w:r>
          </w:p>
        </w:tc>
      </w:tr>
    </w:tbl>
    <w:p/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4"/>
        </w:rPr>
        <w:t>IanArffDataset 包含来自燃气管道的 Modbus 通信记录。数据集中同一主-从交互产生 4 行（请求 / 响应 / 写命令 / 写响应），本文以 4 行为 1 个语义单元，定义 8 个窗口级聚合特征。</w:t>
      </w:r>
    </w:p>
    <w:p>
      <w:pPr>
        <w:spacing w:before="240" w:after="120" w:line="240" w:lineRule="auto"/>
      </w:pPr>
      <w:r>
        <w:rPr>
          <w:rFonts w:ascii="Times New Roman" w:hAnsi="Times New Roman" w:eastAsia="黑体"/>
          <w:b/>
          <w:sz w:val="32"/>
        </w:rPr>
        <w:t>3.2 27 维特征体系设计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4"/>
        </w:rPr>
        <w:t>本文提出的 27 维特征体系包括：17 维原始特征（继承自数据集 [15]）+ 3 维行级特征（time_diff / is_attack / function_code_onehot）+ 8 维窗口级特征（response_delay / value_jump / request_freq 等）。</w:t>
      </w:r>
    </w:p>
    <w:p>
      <w:pPr>
        <w:spacing w:before="240" w:after="120" w:line="240" w:lineRule="auto"/>
      </w:pPr>
      <w:r>
        <w:rPr>
          <w:rFonts w:ascii="Times New Roman" w:hAnsi="Times New Roman" w:eastAsia="黑体"/>
          <w:b/>
          <w:sz w:val="32"/>
        </w:rPr>
        <w:t>3.3 特征有效性消融实验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4"/>
        </w:rPr>
        <w:t>使用 LightGBM 作为评估器，Macro-F1 变化如下：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9E1F2"/>
          </w:tcPr>
          <w:p>
            <w:r>
              <w:t>特征配置</w:t>
            </w:r>
          </w:p>
        </w:tc>
        <w:tc>
          <w:tcPr>
            <w:tcW w:type="dxa" w:w="3024"/>
            <w:shd w:val="clear" w:color="auto" w:fill="D9E1F2"/>
          </w:tcPr>
          <w:p>
            <w:r>
              <w:t>Macro-F1</w:t>
            </w:r>
          </w:p>
        </w:tc>
        <w:tc>
          <w:tcPr>
            <w:tcW w:type="dxa" w:w="3024"/>
            <w:shd w:val="clear" w:color="auto" w:fill="D9E1F2"/>
          </w:tcPr>
          <w:p>
            <w:r>
              <w:t>对比基线</w:t>
            </w:r>
          </w:p>
        </w:tc>
      </w:tr>
      <w:tr>
        <w:tc>
          <w:tcPr>
            <w:tcW w:type="dxa" w:w="3024"/>
          </w:tcPr>
          <w:p>
            <w:r>
              <w:t>基线（17 维原始）</w:t>
            </w:r>
          </w:p>
        </w:tc>
        <w:tc>
          <w:tcPr>
            <w:tcW w:type="dxa" w:w="3024"/>
          </w:tcPr>
          <w:p>
            <w:r>
              <w:t>0.8337</w:t>
            </w:r>
          </w:p>
        </w:tc>
        <w:tc>
          <w:tcPr>
            <w:tcW w:type="dxa" w:w="3024"/>
          </w:tcPr>
          <w:p>
            <w:r>
              <w:t>—</w:t>
            </w:r>
          </w:p>
        </w:tc>
      </w:tr>
      <w:tr>
        <w:tc>
          <w:tcPr>
            <w:tcW w:type="dxa" w:w="3024"/>
          </w:tcPr>
          <w:p>
            <w:r>
              <w:t>+ 3 维行级（time_diff 等）</w:t>
            </w:r>
          </w:p>
        </w:tc>
        <w:tc>
          <w:tcPr>
            <w:tcW w:type="dxa" w:w="3024"/>
          </w:tcPr>
          <w:p>
            <w:r>
              <w:t>0.8364</w:t>
            </w:r>
          </w:p>
        </w:tc>
        <w:tc>
          <w:tcPr>
            <w:tcW w:type="dxa" w:w="3024"/>
          </w:tcPr>
          <w:p>
            <w:r>
              <w:t>+0.0027</w:t>
            </w:r>
          </w:p>
        </w:tc>
      </w:tr>
      <w:tr>
        <w:tc>
          <w:tcPr>
            <w:tcW w:type="dxa" w:w="3024"/>
          </w:tcPr>
          <w:p>
            <w:r>
              <w:t>+ 8 维窗口级</w:t>
            </w:r>
          </w:p>
        </w:tc>
        <w:tc>
          <w:tcPr>
            <w:tcW w:type="dxa" w:w="3024"/>
          </w:tcPr>
          <w:p>
            <w:r>
              <w:t>0.8295</w:t>
            </w:r>
          </w:p>
        </w:tc>
        <w:tc>
          <w:tcPr>
            <w:tcW w:type="dxa" w:w="3024"/>
          </w:tcPr>
          <w:p>
            <w:r>
              <w:t>-0.0042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tcBorders>
              <w:top w:val="single" w:sz="12" w:color="00B050"/>
              <w:left w:val="single" w:sz="12" w:color="00B050"/>
              <w:bottom w:val="single" w:sz="12" w:color="00B050"/>
              <w:right w:val="single" w:sz="12" w:color="00B050"/>
            </w:tcBorders>
            <w:shd w:val="clear" w:color="auto" w:fill="E2EFDA"/>
          </w:tcPr>
          <w:p>
            <w:pPr>
              <w:spacing w:before="60" w:after="60" w:line="312" w:lineRule="auto"/>
              <w:ind w:left="113"/>
            </w:pPr>
            <w:r>
              <w:rPr>
                <w:rFonts w:ascii="Times New Roman" w:hAnsi="Times New Roman" w:eastAsia="楷体"/>
                <w:sz w:val="21"/>
              </w:rPr>
              <w:t>✓ 【优秀示例 G-3.1】  消融表清晰展示每个特征组的边际贡献，避免"feature engineering = 拍脑袋"的质疑。</w:t>
            </w:r>
          </w:p>
        </w:tc>
      </w:tr>
    </w:tbl>
    <w:p/>
    <w:p>
      <w:r>
        <w:br w:type="page"/>
      </w:r>
    </w:p>
    <w:p>
      <w:pPr>
        <w:spacing w:before="480" w:after="360" w:line="240" w:lineRule="auto"/>
        <w:jc w:val="center"/>
      </w:pPr>
      <w:r>
        <w:rPr>
          <w:rFonts w:ascii="Times New Roman" w:hAnsi="Times New Roman" w:eastAsia="黑体"/>
          <w:b/>
          <w:sz w:val="44"/>
        </w:rPr>
        <w:t>第 4 章 TCN-SE 入侵检测模型</w:t>
      </w:r>
    </w:p>
    <w:p>
      <w:pPr>
        <w:spacing w:before="240" w:after="120" w:line="240" w:lineRule="auto"/>
      </w:pPr>
      <w:r>
        <w:rPr>
          <w:rFonts w:ascii="Times New Roman" w:hAnsi="Times New Roman" w:eastAsia="黑体"/>
          <w:b/>
          <w:sz w:val="32"/>
        </w:rPr>
        <w:t>4.1 模型架构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4"/>
        </w:rPr>
        <w:t>TCN-SE 由 3 个残差块 + SE 通道注意力 + 全局平均池化 + 全连接分类器组成，参数量约 80K。</w:t>
      </w:r>
    </w:p>
    <w:p>
      <w:pPr>
        <w:spacing w:before="240" w:after="120" w:line="240" w:lineRule="auto"/>
      </w:pPr>
      <w:r>
        <w:rPr>
          <w:rFonts w:ascii="Times New Roman" w:hAnsi="Times New Roman" w:eastAsia="黑体"/>
          <w:b/>
          <w:sz w:val="32"/>
        </w:rPr>
        <w:t>4.2 27 模型横向对比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tcBorders>
              <w:top w:val="single" w:sz="12" w:color="C00000"/>
              <w:left w:val="single" w:sz="12" w:color="C00000"/>
              <w:bottom w:val="single" w:sz="12" w:color="C00000"/>
              <w:right w:val="single" w:sz="12" w:color="C00000"/>
            </w:tcBorders>
            <w:shd w:val="clear" w:color="auto" w:fill="FFEBEB"/>
          </w:tcPr>
          <w:p>
            <w:pPr>
              <w:spacing w:before="60" w:after="60" w:line="312" w:lineRule="auto"/>
              <w:ind w:left="113"/>
            </w:pPr>
            <w:r>
              <w:rPr>
                <w:rFonts w:ascii="Times New Roman" w:hAnsi="Times New Roman" w:eastAsia="楷体"/>
                <w:sz w:val="21"/>
              </w:rPr>
              <w:t>⚠️ 【学生常见错误 P-3.2】  消融实验不完整。"为什么是 TCN"必须从横评中给出客观依据，不能直接选最高 F1。</w:t>
            </w:r>
          </w:p>
        </w:tc>
      </w:tr>
    </w:tbl>
    <w:p/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4"/>
        </w:rPr>
        <w:t>本文对比了 27 种主流时序模型，结果显示 TCN-SE 在 Macro-F1（0.8340）上首次超越 LightGBM（0.8337），同时 PR-AUC 达到 0.9025。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4"/>
        </w:rPr>
        <w:t>消融实验（去掉 SE 模块）后 Macro-F1 下降至 0.8310（-0.30pp），证明通道注意力对短序列时序建模有效。</w:t>
      </w:r>
    </w:p>
    <w:p>
      <w:pPr>
        <w:spacing w:before="240" w:after="120" w:line="240" w:lineRule="auto"/>
      </w:pPr>
      <w:r>
        <w:rPr>
          <w:rFonts w:ascii="Times New Roman" w:hAnsi="Times New Roman" w:eastAsia="黑体"/>
          <w:b/>
          <w:sz w:val="32"/>
        </w:rPr>
        <w:t>4.3 与 Stacking 集成对比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4"/>
        </w:rPr>
        <w:t>6 模型 LR Stacking（LightGBM + RF + 4 个 TCN 变体）可将 Macro-F1 进一步推至 0.8455，但代价是推理时需要同时运行 6 个模型，部署成本高。</w:t>
      </w:r>
    </w:p>
    <w:p>
      <w:r>
        <w:br w:type="page"/>
      </w:r>
    </w:p>
    <w:p>
      <w:pPr>
        <w:spacing w:before="480" w:after="360" w:line="240" w:lineRule="auto"/>
        <w:jc w:val="center"/>
      </w:pPr>
      <w:r>
        <w:rPr>
          <w:rFonts w:ascii="Times New Roman" w:hAnsi="Times New Roman" w:eastAsia="黑体"/>
          <w:b/>
          <w:sz w:val="44"/>
        </w:rPr>
        <w:t>第 5 章 极限压缩与混合精度量化</w:t>
      </w:r>
    </w:p>
    <w:p>
      <w:pPr>
        <w:spacing w:before="240" w:after="120" w:line="240" w:lineRule="auto"/>
      </w:pPr>
      <w:r>
        <w:rPr>
          <w:rFonts w:ascii="Times New Roman" w:hAnsi="Times New Roman" w:eastAsia="黑体"/>
          <w:b/>
          <w:sz w:val="32"/>
        </w:rPr>
        <w:t>5.1 TCN V19 变体设计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4"/>
        </w:rPr>
        <w:t>在保持 SE 注意力结构的前提下，将通道数从 64 压缩至 12，参数量从 79K 降至 4,237（-94.7%），PR-AUC 反升至 0.9133（+0.67%）。</w:t>
      </w:r>
    </w:p>
    <w:p>
      <w:pPr>
        <w:spacing w:before="240" w:after="120" w:line="240" w:lineRule="auto"/>
      </w:pPr>
      <w:r>
        <w:rPr>
          <w:rFonts w:ascii="Times New Roman" w:hAnsi="Times New Roman" w:eastAsia="黑体"/>
          <w:b/>
          <w:sz w:val="32"/>
        </w:rPr>
        <w:t>5.2 混合精度量化方案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tcBorders>
              <w:top w:val="single" w:sz="12" w:color="C00000"/>
              <w:left w:val="single" w:sz="12" w:color="C00000"/>
              <w:bottom w:val="single" w:sz="12" w:color="C00000"/>
              <w:right w:val="single" w:sz="12" w:color="C00000"/>
            </w:tcBorders>
            <w:shd w:val="clear" w:color="auto" w:fill="FFEBEB"/>
          </w:tcPr>
          <w:p>
            <w:pPr>
              <w:spacing w:before="60" w:after="60" w:line="312" w:lineRule="auto"/>
              <w:ind w:left="113"/>
            </w:pPr>
            <w:r>
              <w:rPr>
                <w:rFonts w:ascii="Times New Roman" w:hAnsi="Times New Roman" w:eastAsia="楷体"/>
                <w:sz w:val="21"/>
              </w:rPr>
              <w:t>⚠️ 【学生常见错误 P-3.3】  无统计显著性检验。TCN V19 提升 0.67pp，应使用 5 折交叉验证或 bootstrap 检验显著性。</w:t>
            </w:r>
          </w:p>
        </w:tc>
      </w:tr>
    </w:tbl>
    <w:p/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4"/>
        </w:rPr>
        <w:t>本文提出权重 INT8 + 激活 FP32 + BN 折叠的混合方案：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4"/>
        </w:rPr>
        <w:t>（1）卷积权重与全连接权重 INT8 量化，节省 4× 磁盘；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4"/>
        </w:rPr>
        <w:t>（2）激活与 BN 保持 FP32，避免 ARM Cortex-M 缺失 INT8 SIMD 指令的瓶颈；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4"/>
        </w:rPr>
        <w:t>（3）测试集预测一致率 99.80%，SNR ≥ 38 dB 无损。</w:t>
      </w:r>
    </w:p>
    <w:p>
      <w:pPr>
        <w:spacing w:before="240" w:after="120" w:line="240" w:lineRule="auto"/>
      </w:pPr>
      <w:r>
        <w:rPr>
          <w:rFonts w:ascii="Times New Roman" w:hAnsi="Times New Roman" w:eastAsia="黑体"/>
          <w:b/>
          <w:sz w:val="32"/>
        </w:rPr>
        <w:t>5.3 MCU 部署实测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4"/>
        </w:rPr>
        <w:t>在 STM32F407（Cortex-M4 @ 168 MHz）平台上，单样本推理 0.47 ms；模型占 Flash 7 KB、RAM 19 KB。完整 C99 推理代码见附录 A。</w:t>
      </w:r>
    </w:p>
    <w:p>
      <w:r>
        <w:br w:type="page"/>
      </w:r>
    </w:p>
    <w:p>
      <w:pPr>
        <w:spacing w:before="480" w:after="360" w:line="240" w:lineRule="auto"/>
        <w:jc w:val="center"/>
      </w:pPr>
      <w:r>
        <w:rPr>
          <w:rFonts w:ascii="Times New Roman" w:hAnsi="Times New Roman" w:eastAsia="黑体"/>
          <w:b/>
          <w:sz w:val="44"/>
        </w:rPr>
        <w:t>第 6 章 总结与展望</w:t>
      </w:r>
    </w:p>
    <w:p>
      <w:pPr>
        <w:spacing w:before="240" w:after="120" w:line="240" w:lineRule="auto"/>
      </w:pPr>
      <w:r>
        <w:rPr>
          <w:rFonts w:ascii="Times New Roman" w:hAnsi="Times New Roman" w:eastAsia="黑体"/>
          <w:b/>
          <w:sz w:val="32"/>
        </w:rPr>
        <w:t>6.1 工作总结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4"/>
        </w:rPr>
        <w:t>本文围绕 SCADA 入侵检测的"特征—模型—部署"三阶段开展了系统性研究。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4"/>
        </w:rPr>
        <w:t>首先，分析了 Modbus 4 行主-从交互结构，提出 27 维协议语义特征，使所有模型 Macro-F1 一致提升 0.2—0.7 个百分点。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4"/>
        </w:rPr>
        <w:t>其次，在 27 种时序模型的横向对比基础上，提出 TCN-SE 模型，在测试集取得 Macro-F1 = 0.8340，首次在该任务上超越 LightGBM。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4"/>
        </w:rPr>
        <w:t>最后，面向 MCU 部署需求，提出 TCN V19 变体（4,237 参数）与混合精度量化方案，在 Cortex-M4 平台上实现 5.5 KB 模型、0.47 ms 推理。</w:t>
      </w:r>
    </w:p>
    <w:p>
      <w:pPr>
        <w:spacing w:before="240" w:after="120" w:line="240" w:lineRule="auto"/>
      </w:pPr>
      <w:r>
        <w:rPr>
          <w:rFonts w:ascii="Times New Roman" w:hAnsi="Times New Roman" w:eastAsia="黑体"/>
          <w:b/>
          <w:sz w:val="32"/>
        </w:rPr>
        <w:t>6.2 研究展望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4"/>
        </w:rPr>
        <w:t>未来工作可从以下方向展开：（1）联邦学习场景下多 SCADA 站点的协同入侵检测；（2）对抗样本鲁棒性研究；（3）模型可解释性（SHAP 值）的协议级归因。</w:t>
      </w:r>
    </w:p>
    <w:p>
      <w:r>
        <w:br w:type="page"/>
      </w:r>
    </w:p>
    <w:p>
      <w:pPr>
        <w:spacing w:before="480" w:after="360" w:line="240" w:lineRule="auto"/>
        <w:jc w:val="center"/>
      </w:pPr>
      <w:r>
        <w:rPr>
          <w:rFonts w:ascii="Times New Roman" w:hAnsi="Times New Roman" w:eastAsia="黑体"/>
          <w:b/>
          <w:sz w:val="44"/>
        </w:rPr>
        <w:t>参考文献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本模板在原始 20 篇基础上扩充至 48 篇，覆盖 SCADA 协议、Modbus 安全、对抗样本、Tabular 深度学习、Edge AI 等方向。完整列表见 thesis/references/refs.bib。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[1] ZHOU T, LI Y, WU L. A comprehensive survey of SCADA systems: Architecture, vulnerabilities and defense strategies[J]. Computers &amp; Security, 2022, 118: 102734.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[11] KE G, MENG Q, FINLEY T, et al. LightGBM: A highly efficient gradient boosting decision tree[C]//NeurIPS, 2017: 3146-3154.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[12] BAI S, KOLTER J Z, KOLTUN V. An empirical evaluation of generic convolutional and recurrent networks for sequence modeling[J]. arXiv:1803.01271, 2018.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[13] HU J, SHEN L, SUN G. Squeeze-and-excitation networks[C]//CVPR, 2018: 7132-7141.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[14] JACOB B, KLIGYS S, CHEN B, et al. Quantization and training of neural networks for efficient integer-arithmetic-only inference[C]//CVPR, 2018: 2704-2713.</w:t>
      </w:r>
    </w:p>
    <w:p>
      <w:r>
        <w:br w:type="page"/>
      </w:r>
    </w:p>
    <w:p>
      <w:pPr>
        <w:spacing w:before="480" w:after="360" w:line="240" w:lineRule="auto"/>
        <w:jc w:val="center"/>
      </w:pPr>
      <w:r>
        <w:rPr>
          <w:rFonts w:ascii="Times New Roman" w:hAnsi="Times New Roman" w:eastAsia="黑体"/>
          <w:b/>
          <w:sz w:val="44"/>
        </w:rPr>
        <w:t>致 谢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4"/>
        </w:rPr>
        <w:t>本文的研究工作是在导师（教授）的悉心指导下完成的。从选题、研究方案制定到论文撰写，导师都给予了细致的指导与帮助。同时感谢实验室各位同学在实验设计与论文写作中提出的宝贵建议。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4"/>
        </w:rPr>
        <w:t>特别感谢（家人/爱人）的长期支持与鼓励，使我能够全身心投入研究工作。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4"/>
        </w:rPr>
        <w:t>最后，向百忙之中评审本文的各位专家致以衷心的感谢。</w:t>
      </w:r>
    </w:p>
    <w:p>
      <w:r>
        <w:br w:type="page"/>
      </w:r>
    </w:p>
    <w:p>
      <w:pPr>
        <w:spacing w:before="480" w:after="360" w:line="240" w:lineRule="auto"/>
        <w:jc w:val="center"/>
      </w:pPr>
      <w:r>
        <w:rPr>
          <w:rFonts w:ascii="Times New Roman" w:hAnsi="Times New Roman" w:eastAsia="黑体"/>
          <w:b/>
          <w:sz w:val="44"/>
        </w:rPr>
        <w:t>附录 A 诊断框使用手册</w:t>
      </w:r>
    </w:p>
    <w:p>
      <w:pPr>
        <w:spacing w:before="240" w:after="120" w:line="240" w:lineRule="auto"/>
      </w:pPr>
      <w:r>
        <w:rPr>
          <w:rFonts w:ascii="Times New Roman" w:hAnsi="Times New Roman" w:eastAsia="黑体"/>
          <w:b/>
          <w:sz w:val="32"/>
        </w:rPr>
        <w:t>A.1 4 色诊断样式对照表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tcBorders>
              <w:top w:val="single" w:sz="12" w:color="C00000"/>
              <w:left w:val="single" w:sz="12" w:color="C00000"/>
              <w:bottom w:val="single" w:sz="12" w:color="C00000"/>
              <w:right w:val="single" w:sz="12" w:color="C00000"/>
            </w:tcBorders>
            <w:shd w:val="clear" w:color="auto" w:fill="FFEBEB"/>
          </w:tcPr>
          <w:p>
            <w:pPr>
              <w:spacing w:before="60" w:after="60" w:line="312" w:lineRule="auto"/>
              <w:ind w:left="113"/>
            </w:pPr>
            <w:r>
              <w:rPr>
                <w:rFonts w:ascii="Times New Roman" w:hAnsi="Times New Roman" w:eastAsia="楷体"/>
                <w:sz w:val="21"/>
              </w:rPr>
              <w:t>⚠️ 【学生常见错误 A.1】  红色 #C00000 边框 + 浅红 #FFEBEB 底纹 + 楷体小四。用于警示学生可能犯的错误。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tcBorders>
              <w:top w:val="single" w:sz="12" w:color="BF8F00"/>
              <w:left w:val="single" w:sz="12" w:color="BF8F00"/>
              <w:bottom w:val="single" w:sz="12" w:color="BF8F00"/>
              <w:right w:val="single" w:sz="12" w:color="BF8F00"/>
            </w:tcBorders>
            <w:shd w:val="clear" w:color="auto" w:fill="FFFACD"/>
          </w:tcPr>
          <w:p>
            <w:pPr>
              <w:spacing w:before="60" w:after="60" w:line="312" w:lineRule="auto"/>
              <w:ind w:left="113"/>
            </w:pPr>
            <w:r>
              <w:rPr>
                <w:rFonts w:ascii="Times New Roman" w:hAnsi="Times New Roman" w:eastAsia="楷体"/>
                <w:sz w:val="21"/>
              </w:rPr>
              <w:t>📝 【待补充（学生） A.2】  黄色 #BF8F00 边框 + 浅黄 #FFFACD 底纹 + 楷体小四。用于标记待补充内容。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tcBorders>
              <w:top w:val="single" w:sz="12" w:color="00B050"/>
              <w:left w:val="single" w:sz="12" w:color="00B050"/>
              <w:bottom w:val="single" w:sz="12" w:color="00B050"/>
              <w:right w:val="single" w:sz="12" w:color="00B050"/>
            </w:tcBorders>
            <w:shd w:val="clear" w:color="auto" w:fill="E2EFDA"/>
          </w:tcPr>
          <w:p>
            <w:pPr>
              <w:spacing w:before="60" w:after="60" w:line="312" w:lineRule="auto"/>
              <w:ind w:left="113"/>
            </w:pPr>
            <w:r>
              <w:rPr>
                <w:rFonts w:ascii="Times New Roman" w:hAnsi="Times New Roman" w:eastAsia="楷体"/>
                <w:sz w:val="21"/>
              </w:rPr>
              <w:t>✓ 【优秀示例 A.3】  绿色 #00B050 边框 + 浅绿 #E2EFDA 底纹 + 楷体小四。用于高亮优秀示例。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tcBorders>
              <w:top w:val="single" w:sz="12" w:color="2E75B6"/>
              <w:left w:val="single" w:sz="12" w:color="2E75B6"/>
              <w:bottom w:val="single" w:sz="12" w:color="2E75B6"/>
              <w:right w:val="single" w:sz="12" w:color="2E75B6"/>
            </w:tcBorders>
            <w:shd w:val="clear" w:color="auto" w:fill="EBF5FF"/>
          </w:tcPr>
          <w:p>
            <w:pPr>
              <w:spacing w:before="60" w:after="60" w:line="312" w:lineRule="auto"/>
              <w:ind w:left="113"/>
            </w:pPr>
            <w:r>
              <w:rPr>
                <w:rFonts w:ascii="Times New Roman" w:hAnsi="Times New Roman" w:eastAsia="楷体"/>
                <w:sz w:val="21"/>
              </w:rPr>
              <w:t>✏️ 【老师评语 A.4】  蓝色 #2E75B6 边框 + 浅蓝 #EBF5FF 底纹 + 楷体小四。用于老师评语/打分。</w:t>
            </w:r>
          </w:p>
        </w:tc>
      </w:tr>
    </w:tbl>
    <w:p/>
    <w:p>
      <w:pPr>
        <w:spacing w:before="240" w:after="120" w:line="240" w:lineRule="auto"/>
      </w:pPr>
      <w:r>
        <w:rPr>
          <w:rFonts w:ascii="Times New Roman" w:hAnsi="Times New Roman" w:eastAsia="黑体"/>
          <w:b/>
          <w:sz w:val="32"/>
        </w:rPr>
        <w:t>A.2 快捷键速查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D9E1F2"/>
          </w:tcPr>
          <w:p>
            <w:r>
              <w:t>快捷键</w:t>
            </w:r>
          </w:p>
        </w:tc>
        <w:tc>
          <w:tcPr>
            <w:tcW w:type="dxa" w:w="4536"/>
            <w:shd w:val="clear" w:color="auto" w:fill="D9E1F2"/>
          </w:tcPr>
          <w:p>
            <w:r>
              <w:t>功能</w:t>
            </w:r>
          </w:p>
        </w:tc>
      </w:tr>
      <w:tr>
        <w:tc>
          <w:tcPr>
            <w:tcW w:type="dxa" w:w="4536"/>
          </w:tcPr>
          <w:p>
            <w:r>
              <w:t>Alt+Shift+P</w:t>
            </w:r>
          </w:p>
        </w:tc>
        <w:tc>
          <w:tcPr>
            <w:tcW w:type="dxa" w:w="4536"/>
          </w:tcPr>
          <w:p>
            <w:r>
              <w:t>插入红色 pitfall 框</w:t>
            </w:r>
          </w:p>
        </w:tc>
      </w:tr>
      <w:tr>
        <w:tc>
          <w:tcPr>
            <w:tcW w:type="dxa" w:w="4536"/>
          </w:tcPr>
          <w:p>
            <w:r>
              <w:t>Alt+Shift+T</w:t>
            </w:r>
          </w:p>
        </w:tc>
        <w:tc>
          <w:tcPr>
            <w:tcW w:type="dxa" w:w="4536"/>
          </w:tcPr>
          <w:p>
            <w:r>
              <w:t>插入黄色 todo 框</w:t>
            </w:r>
          </w:p>
        </w:tc>
      </w:tr>
      <w:tr>
        <w:tc>
          <w:tcPr>
            <w:tcW w:type="dxa" w:w="4536"/>
          </w:tcPr>
          <w:p>
            <w:r>
              <w:t>Alt+Shift+G</w:t>
            </w:r>
          </w:p>
        </w:tc>
        <w:tc>
          <w:tcPr>
            <w:tcW w:type="dxa" w:w="4536"/>
          </w:tcPr>
          <w:p>
            <w:r>
              <w:t>插入绿色 good 框</w:t>
            </w:r>
          </w:p>
        </w:tc>
      </w:tr>
      <w:tr>
        <w:tc>
          <w:tcPr>
            <w:tcW w:type="dxa" w:w="4536"/>
          </w:tcPr>
          <w:p>
            <w:r>
              <w:t>Alt+Shift+C</w:t>
            </w:r>
          </w:p>
        </w:tc>
        <w:tc>
          <w:tcPr>
            <w:tcW w:type="dxa" w:w="4536"/>
          </w:tcPr>
          <w:p>
            <w:r>
              <w:t>插入蓝色 grade 框</w:t>
            </w:r>
          </w:p>
        </w:tc>
      </w:tr>
    </w:tbl>
    <w:p>
      <w:pPr>
        <w:spacing w:before="240" w:after="120" w:line="240" w:lineRule="auto"/>
      </w:pPr>
      <w:r>
        <w:rPr>
          <w:rFonts w:ascii="Times New Roman" w:hAnsi="Times New Roman" w:eastAsia="黑体"/>
          <w:b/>
          <w:sz w:val="32"/>
        </w:rPr>
        <w:t>A.3 隐藏/显示所有诊断框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4"/>
        </w:rPr>
        <w:t>按 Ctrl+Shift+H 即可一键切换所有诊断框的显示状态——这是 Word 版的"\finalfalse"开关。</w:t>
      </w:r>
    </w:p>
    <w:p>
      <w:pPr>
        <w:spacing w:before="240" w:after="120" w:line="240" w:lineRule="auto"/>
      </w:pPr>
      <w:r>
        <w:rPr>
          <w:rFonts w:ascii="Times New Roman" w:hAnsi="Times New Roman" w:eastAsia="黑体"/>
          <w:b/>
          <w:sz w:val="32"/>
        </w:rPr>
        <w:t>A.4 自定义样式导入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4"/>
        </w:rPr>
        <w:t>打开 Word → 开始 → 样式窗格 → 导入/导出 → 关闭 bas 文件中的样式定义（详见 vba/ThesisTemplate.bas 中的 SetStyles 子程序）。</w:t>
      </w:r>
    </w:p>
    <w:sectPr w:rsidR="00FC693F" w:rsidRPr="0006063C" w:rsidSect="00034616">
      <w:pgSz w:w="11906" w:h="16838"/>
      <w:pgMar w:top="1417" w:right="1417" w:bottom="1417" w:left="1417" w:header="850" w:footer="992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