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🏠 Prédiction des Prix Immobiliers en France</w:t>
      </w:r>
    </w:p>
    <w:p>
      <w:pPr>
        <w:jc w:val="center"/>
      </w:pPr>
      <w:r>
        <w:rPr>
          <w:i/>
          <w:sz w:val="26"/>
        </w:rPr>
        <w:t>Projet de Data Science de bout en bout — Données DVF (2021-2025)</w:t>
      </w:r>
    </w:p>
    <w:p>
      <w:pPr>
        <w:jc w:val="center"/>
      </w:pPr>
      <w:r>
        <w:rPr>
          <w:sz w:val="22"/>
        </w:rPr>
        <w:t>Stéphane Foyet — Master 1 Data Science, Ynov</w:t>
        <w:br/>
      </w:r>
      <w:r>
        <w:rPr>
          <w:sz w:val="20"/>
        </w:rPr>
        <w:t>Stack : Python · pandas · scikit-learn · XGBoost · LightGBM · SHAP · MySQL · Streamlit</w:t>
      </w:r>
    </w:p>
    <w:p/>
    <w:p>
      <w:pPr>
        <w:pStyle w:val="Heading1"/>
      </w:pPr>
      <w:r>
        <w:t>1. Objectif du projet</w:t>
      </w:r>
    </w:p>
    <w:p>
      <w:r>
        <w:t>Construire une chaîne complète et rigoureuse, de la donnée brute jusqu'à une application utilisable, afin de prédire la valeur foncière (prix de vente) d'un logement — maison ou appartement — en France, sur la période 2021-2025.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Collecte  →  ETL  →  Data Warehouse (MySQL)  →  EDA  →  Feature Engineering</w:t>
        <w:br/>
        <w:t xml:space="preserve">        →  Machine Learning  →  Évaluation  →  Modèle final  →  Dashboard</w:t>
      </w:r>
    </w:p>
    <w:p>
      <w:pPr>
        <w:pStyle w:val="Heading1"/>
      </w:pPr>
      <w:r>
        <w:t>2. Architecture générale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Données brutes (DVF, INSEE, geo.api.gouv.fr)</w:t>
        <w:br/>
        <w:t xml:space="preserve">        │</w:t>
        <w:br/>
        <w:t xml:space="preserve">        ▼</w:t>
        <w:br/>
        <w:t xml:space="preserve">   ETL (src/etl/)  → extraction → nettoyage → consolidation → enrichissement</w:t>
        <w:br/>
        <w:t xml:space="preserve">        │</w:t>
        <w:br/>
        <w:t xml:space="preserve">        ▼</w:t>
        <w:br/>
        <w:t xml:space="preserve">   dvf_final.parquet  (5,6 M lignes, 23 colonnes)</w:t>
        <w:br/>
        <w:t xml:space="preserve">        │</w:t>
        <w:br/>
        <w:t xml:space="preserve">        ▼</w:t>
        <w:br/>
        <w:t xml:space="preserve">   MySQL  (base immobilier_dvf, table transactions)</w:t>
        <w:br/>
        <w:t xml:space="preserve">        │</w:t>
        <w:br/>
        <w:t xml:space="preserve">        ▼</w:t>
        <w:br/>
        <w:t xml:space="preserve">   Data Science (src/ml/)  01 EDA → 07 Artefacts</w:t>
        <w:br/>
        <w:t xml:space="preserve">        │</w:t>
        <w:br/>
        <w:t xml:space="preserve">        ▼</w:t>
        <w:br/>
        <w:t xml:space="preserve">   Dashboard Streamlit (src/app/app.py)</w:t>
      </w:r>
    </w:p>
    <w:p>
      <w:pPr>
        <w:pStyle w:val="Heading1"/>
      </w:pPr>
      <w:r>
        <w:t>3. Sources de données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Contenu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Emplacement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DVF (data.gouv.fr)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Transactions 2021-2025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ZIP → TXT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data/raw/dvf/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Référentiel communes (geo.api.gouv.fr)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Nom, codes, région, population, GPS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JSON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data/raw/geo/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Population communes (INSEE)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Population par commune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data/raw/insee/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Revenus / niveau de vie (INSEE)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Revenu médian par commune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data/raw/insee/</w:t>
            </w:r>
          </w:p>
        </w:tc>
      </w:tr>
    </w:tbl>
    <w:p/>
    <w:p>
      <w:pPr>
        <w:pStyle w:val="Heading1"/>
      </w:pPr>
      <w:r>
        <w:t>4. Le pipeline étape par étape</w:t>
      </w:r>
    </w:p>
    <w:p>
      <w:pPr>
        <w:pStyle w:val="Heading2"/>
      </w:pPr>
      <w:r>
        <w:t>Phase 1 — Collecte</w:t>
      </w:r>
    </w:p>
    <w:p>
      <w:r>
        <w:t>Téléchargement des 5 années DVF, du référentiel des communes, de la population et des revenus médians (scripts dans src/).</w:t>
      </w:r>
    </w:p>
    <w:p>
      <w:pPr>
        <w:pStyle w:val="Heading2"/>
      </w:pPr>
      <w:r>
        <w:t>Phase 2 — ETL (src/etl/)</w:t>
      </w:r>
    </w:p>
    <w:p>
      <w:pPr>
        <w:pStyle w:val="ListBullet"/>
      </w:pPr>
      <w:r>
        <w:t>Extraction : décompression des ZIP DVF en fichiers .txt.</w:t>
      </w:r>
    </w:p>
    <w:p>
      <w:pPr>
        <w:pStyle w:val="ListBullet"/>
      </w:pPr>
      <w:r>
        <w:t>Nettoyage : filtre Vente + Maison/Appartement ; conversion des types ; suppression des prix ≤ 1000 €, surfaces ≤ 5 m², doublons et valeurs extrêmes.</w:t>
      </w:r>
    </w:p>
    <w:p>
      <w:pPr>
        <w:pStyle w:val="ListBullet"/>
      </w:pPr>
      <w:r>
        <w:t>Consolidation : fusion des 5 années.</w:t>
      </w:r>
    </w:p>
    <w:p>
      <w:pPr>
        <w:pStyle w:val="ListBullet"/>
      </w:pPr>
      <w:r>
        <w:t>Enrichissement : géographique (lat/lon, population, région) et socio-économique (revenu médian).</w:t>
      </w:r>
    </w:p>
    <w:p>
      <w:pPr>
        <w:pStyle w:val="ListBullet"/>
      </w:pPr>
      <w:r>
        <w:t>Sortie : dvf_final.parquet — 5 624 088 lignes × 23 colonnes.</w:t>
      </w:r>
    </w:p>
    <w:p>
      <w:pPr>
        <w:pStyle w:val="Heading2"/>
      </w:pPr>
      <w:r>
        <w:t>Phase 3 — Base MySQL</w:t>
      </w:r>
    </w:p>
    <w:p>
      <w:r>
        <w:t>Import du dataset dans MySQL (base immobilier_dvf, table transactions) via transfert_bd.ipynb. La partie ML repart de MySQL, plus du Parquet.</w:t>
      </w:r>
    </w:p>
    <w:p>
      <w:r>
        <w:t>Comment on charge les 5,6 M lignes — 4 étapes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Étape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Pourquoi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pd.read_parquet(...)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 charge le dataset final propre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df.to_csv(..., sep=';')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MySQL ne lit pas le Parquet ; son chargeur rapide lit du texte/CSV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df.head(0).to_sql(...)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crée la structure vide de la table (schéma déduit par pandas)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LOAD DATA LOCAL INFILE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insère les 5,6 M lignes en une seule opération (quelques secondes)</w:t>
            </w:r>
          </w:p>
        </w:tc>
      </w:tr>
    </w:tbl>
    <w:p/>
    <w:p>
      <w:r>
        <w:t>Pourquoi LOAD DATA et pas df.to_sql() pour tout ? to_sql insère par petits paquets via des milliers de requêtes INSERT, beaucoup trop lent sur 5,6 M lignes. LOAD DATA LOCAL INFILE est le chargeur natif de MySQL (lecture du CSV côté serveur, en masse). On utilise donc to_sql uniquement pour créer la table vide, et LOAD DATA pour les données.</w:t>
      </w:r>
    </w:p>
    <w:p>
      <w:r>
        <w:t>Pourquoi passer par MySQL plutôt que lire directement le Parquet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Parquet (fichier)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MySQL (Data Warehouse)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Fichier sur disque, mono-utilisateur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Service interrogeable, multi-utilisateur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On charge tout en mémoire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SQL : WHERE, LIMIT, RAND(), GROUP BY… côté serveur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Pas de requêtes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Filtrage / échantillonnage sans tout charger</w:t>
            </w:r>
          </w:p>
        </w:tc>
      </w:tr>
    </w:tbl>
    <w:p/>
    <w:p>
      <w:r>
        <w:t>Concrètement, l'EDA échantillonne directement en base (SELECT ... WHERE RAND() &lt; 0.04 LIMIT 200000) sans charger les 5,6 M lignes. Le Parquet est le résultat de l'ETL ; MySQL est le Data Warehouse qui expose ces données de façon interrogeable, pour simuler un environnement de production.</w:t>
      </w:r>
    </w:p>
    <w:p>
      <w:pPr>
        <w:pStyle w:val="Heading3"/>
      </w:pPr>
      <w:r>
        <w:t>Schéma de la table transactions (23 colonnes)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Colonne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Valeur fonciere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CIBLE — prix de la transaction (€)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Type local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Maison / Appartement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Surface reelle bati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Surface habitable (m²)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pieces principales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Nombre de pièces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Surface terrain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Surface du terrain (m², nul pour appartements)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prix_m2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Prix au m² (dérivé — écarté du ML : fuite)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Code departement / postal / commune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Localisation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population_geo / revenu_median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Contexte socio-économique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longitude / latitude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Coordonnées GPS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annee / mois / trimestre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Dérivées temporelles</w:t>
            </w:r>
          </w:p>
        </w:tc>
      </w:tr>
    </w:tbl>
    <w:p/>
    <w:p>
      <w:pPr>
        <w:pStyle w:val="Heading2"/>
      </w:pPr>
      <w:r>
        <w:t>Notebook 01 — EDA</w:t>
      </w:r>
    </w:p>
    <w:p>
      <w:r>
        <w:t>Analyse exploratoire depuis MySQL. Choix de la cible : Valeur fonciere en log (asymétrie ramenée de 28 à 0,31). Réponses métier :</w:t>
      </w:r>
    </w:p>
    <w:p>
      <w:pPr>
        <w:pStyle w:val="ListBullet"/>
      </w:pPr>
      <w:r>
        <w:t>Départements les plus chers : 75 (Paris) &gt; 92 &gt; 94.</w:t>
      </w:r>
    </w:p>
    <w:p>
      <w:pPr>
        <w:pStyle w:val="ListBullet"/>
      </w:pPr>
      <w:r>
        <w:t>Les appartements sont plus chers au m² que les maisons.</w:t>
      </w:r>
    </w:p>
    <w:p>
      <w:pPr>
        <w:pStyle w:val="ListBullet"/>
      </w:pPr>
      <w:r>
        <w:t>Le revenu médian de la commune influence le prix (corrélation 0,36 sur la cible log).</w:t>
      </w:r>
    </w:p>
    <w:p>
      <w:pPr>
        <w:pStyle w:val="ListBullet"/>
      </w:pPr>
      <w:r>
        <w:t>Prix en baisse 2022 → 2024 (hausse des taux) ; 2025 partiellement renseigné.</w:t>
      </w:r>
    </w:p>
    <w:p>
      <w:pPr>
        <w:pStyle w:val="Heading2"/>
      </w:pPr>
      <w:r>
        <w:t>Notebook 02 — Préprocessing</w:t>
      </w:r>
    </w:p>
    <w:p>
      <w:pPr>
        <w:pStyle w:val="ListBullet"/>
      </w:pPr>
      <w:r>
        <w:t>Échantillon reproductible ~563 k lignes (RAND(42)).</w:t>
      </w:r>
    </w:p>
    <w:p>
      <w:pPr>
        <w:pStyle w:val="ListBullet"/>
      </w:pPr>
      <w:r>
        <w:t>Suppression de la fuite (prix_m2), colonnes constantes et redondantes : 23 → 12 features.</w:t>
      </w:r>
    </w:p>
    <w:p>
      <w:pPr>
        <w:pStyle w:val="ListBullet"/>
      </w:pPr>
      <w:r>
        <w:t>Imputation Surface terrain : appartements → 0 ; maisons manquantes → médiane du train.</w:t>
      </w:r>
    </w:p>
    <w:p>
      <w:pPr>
        <w:pStyle w:val="ListBullet"/>
      </w:pPr>
      <w:r>
        <w:t>Split 80/20 réalisé AVANT toute transformation apprise (anti-fuite).</w:t>
      </w:r>
    </w:p>
    <w:p>
      <w:pPr>
        <w:pStyle w:val="Heading2"/>
      </w:pPr>
      <w:r>
        <w:t>Notebook 03 — Feature Engineering</w:t>
      </w:r>
    </w:p>
    <w:p>
      <w:r>
        <w:t>Création de 8 nouvelles variables (12 → 20 features)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Idée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surface_totale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bâti + terrain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surface_par_piece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taille moyenne d'une pièce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date_num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temps continu (tendance des prix)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surface_x_revenu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interaction surface × revenu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distance_paris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distance GPS au centre de Paris (Haversine)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is_paris / is_petite_couronne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zones premium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prix_median_commune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encodage par la cible en out-of-fold (K-fold)</w:t>
            </w:r>
          </w:p>
        </w:tc>
      </w:tr>
    </w:tbl>
    <w:p/>
    <w:p>
      <w:pPr>
        <w:pStyle w:val="Heading2"/>
      </w:pPr>
      <w:r>
        <w:t>Notebook 04 — Modélisation</w:t>
      </w:r>
    </w:p>
    <w:p>
      <w:r>
        <w:t>Comparaison progressive de 6 modèles (métrique : R² sur l'échelle log)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Modèle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R² (log)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Régression Linéaire (baseline)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Arbre de décision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Gradient Boosting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LightGBM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XGBoost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0,61</w:t>
            </w:r>
          </w:p>
        </w:tc>
      </w:tr>
    </w:tbl>
    <w:p/>
    <w:p>
      <w:pPr>
        <w:pStyle w:val="Heading2"/>
      </w:pPr>
      <w:r>
        <w:t>Notebook 05 — Évaluation</w:t>
      </w:r>
    </w:p>
    <w:p>
      <w:pPr>
        <w:pStyle w:val="ListBullet"/>
      </w:pPr>
      <w:r>
        <w:t>Graphe Prédit vs Réel : régression vers la moyenne aux extrêmes.</w:t>
      </w:r>
    </w:p>
    <w:p>
      <w:pPr>
        <w:pStyle w:val="ListBullet"/>
      </w:pPr>
      <w:r>
        <w:t>Importance des variables + SHAP : prix piloté par la localisation (prix_median_commune), la surface et l'interaction surface × revenu.</w:t>
      </w:r>
    </w:p>
    <w:p>
      <w:pPr>
        <w:pStyle w:val="ListBullet"/>
      </w:pPr>
      <w:r>
        <w:t>Analyse des erreurs : courbe en U par tranche de prix, ~22 % d'erreur médiane.</w:t>
      </w:r>
    </w:p>
    <w:p>
      <w:pPr>
        <w:pStyle w:val="Heading2"/>
      </w:pPr>
      <w:r>
        <w:t>Notebook 06 — Modèle final</w:t>
      </w:r>
    </w:p>
    <w:p>
      <w:r>
        <w:t>Ré-entraînement sur les 5,6 M lignes. Optimisation mémoire (float32 + category) : 1 542 → 245 Mo (-84 %). Modèle final LightGBM, sans normalisation.</w:t>
      </w:r>
    </w:p>
    <w:p>
      <w:pPr>
        <w:pStyle w:val="Heading2"/>
      </w:pPr>
      <w:r>
        <w:t>Notebook 07 + Dashboard</w:t>
      </w:r>
    </w:p>
    <w:p>
      <w:r>
        <w:t>Export des artefacts d'inférence (modèle, ordre des features, table communes, encodeurs). Dashboard Streamlit : l'utilisateur choisit une commune et saisit les caractéristiques du bien ; l'application reconstruit les 20 features et affiche le prix estimé et le prix au m².</w:t>
      </w:r>
    </w:p>
    <w:p>
      <w:pPr>
        <w:pStyle w:val="Heading1"/>
      </w:pPr>
      <w:r>
        <w:t>5. Résultats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Modèle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Données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R² (log)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MedAE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Erreur médiane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XGBoost (dev)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563 k lignes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0,607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~42 k€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~22 %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LightGBM (final)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5,6 M lignes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0,625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~41 k€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~21 %</w:t>
            </w:r>
          </w:p>
        </w:tc>
      </w:tr>
    </w:tbl>
    <w:p/>
    <w:p>
      <w:r>
        <w:t>Exemple de prédiction (dashboard) : appartement 70 m², 3 pièces, Paris (75), 2025 → ≈ 662 000 € (9 450 €/m²), cohérent avec le marché réel parisien.</w:t>
      </w:r>
    </w:p>
    <w:p>
      <w:pPr>
        <w:pStyle w:val="Heading1"/>
      </w:pPr>
      <w:r>
        <w:t>6. Choix méthodologiques clés</w:t>
      </w:r>
    </w:p>
    <w:p>
      <w:pPr>
        <w:pStyle w:val="ListNumber"/>
      </w:pPr>
      <w:r>
        <w:t>Cible en log : prix très asymétriques ; on modélise log1p(prix) et on évalue le R² sur cette échelle (stable).</w:t>
      </w:r>
    </w:p>
    <w:p>
      <w:pPr>
        <w:pStyle w:val="ListNumber"/>
      </w:pPr>
      <w:r>
        <w:t>Anti-fuite : split avant toute transformation ; imputation, normalisation et encodages appris sur le train uniquement.</w:t>
      </w:r>
    </w:p>
    <w:p>
      <w:pPr>
        <w:pStyle w:val="ListNumber"/>
      </w:pPr>
      <w:r>
        <w:t>Suppression de prix_m2 : dérivée de la cible → fuite évidente.</w:t>
      </w:r>
    </w:p>
    <w:p>
      <w:pPr>
        <w:pStyle w:val="ListNumber"/>
      </w:pPr>
      <w:r>
        <w:t>Encodage par la cible en out-of-fold : surapprentissage diagnostiqué via l'importance des variables, puis corrigé par un encodage K-fold.</w:t>
      </w:r>
    </w:p>
    <w:p>
      <w:pPr>
        <w:pStyle w:val="ListNumber"/>
      </w:pPr>
      <w:r>
        <w:t>Développement sur échantillon, entraînement final sur l'intégralité des données.</w:t>
      </w:r>
    </w:p>
    <w:p>
      <w:pPr>
        <w:pStyle w:val="Heading1"/>
      </w:pPr>
      <w:r>
        <w:t>7. Limites &amp; pistes d'amélioration</w:t>
      </w:r>
    </w:p>
    <w:p>
      <w:pPr>
        <w:pStyle w:val="Heading2"/>
      </w:pPr>
      <w:r>
        <w:t>Limites</w:t>
      </w:r>
    </w:p>
    <w:p>
      <w:pPr>
        <w:pStyle w:val="ListBullet"/>
      </w:pPr>
      <w:r>
        <w:t>Plafond de performance ~0,62 : variance irréductible du prix total (ventes multi-lots, état du bien absent de DVF).</w:t>
      </w:r>
    </w:p>
    <w:p>
      <w:pPr>
        <w:pStyle w:val="ListBullet"/>
      </w:pPr>
      <w:r>
        <w:t>Régression vers la moyenne : sous-estimation du luxe, surestimation du bas de gamme.</w:t>
      </w:r>
    </w:p>
    <w:p>
      <w:pPr>
        <w:pStyle w:val="ListBullet"/>
      </w:pPr>
      <w:r>
        <w:t>revenu_median issu de données INSEE relativement anciennes.</w:t>
      </w:r>
    </w:p>
    <w:p>
      <w:pPr>
        <w:pStyle w:val="ListBullet"/>
      </w:pPr>
      <w:r>
        <w:t>Pas de prédiction fiable au-delà de 2025 (les arbres n'extrapolent pas).</w:t>
      </w:r>
    </w:p>
    <w:p>
      <w:pPr>
        <w:pStyle w:val="Heading2"/>
      </w:pPr>
      <w:r>
        <w:t>Pistes</w:t>
      </w:r>
    </w:p>
    <w:p>
      <w:pPr>
        <w:pStyle w:val="ListBullet"/>
      </w:pPr>
      <w:r>
        <w:t>Détecter et écarter les ventes multi-lots pour réduire le bruit.</w:t>
      </w:r>
    </w:p>
    <w:p>
      <w:pPr>
        <w:pStyle w:val="ListBullet"/>
      </w:pPr>
      <w:r>
        <w:t>Ajouter des données externes (DPE, transports, écoles).</w:t>
      </w:r>
    </w:p>
    <w:p>
      <w:pPr>
        <w:pStyle w:val="ListBullet"/>
      </w:pPr>
      <w:r>
        <w:t>Optimisation fine des hyperparamètres (GridSearch / Optuna).</w:t>
      </w:r>
    </w:p>
    <w:p>
      <w:pPr>
        <w:pStyle w:val="ListBullet"/>
      </w:pPr>
      <w:r>
        <w:t>Déploiement du dashboard (Streamlit Cloud).</w:t>
      </w:r>
    </w:p>
    <w:p>
      <w:pPr>
        <w:pStyle w:val="Heading1"/>
      </w:pPr>
      <w:r>
        <w:t>8. Comment lancer le projet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# 1. Dépendances</w:t>
        <w:br/>
        <w:t>pip install -r requirements.txt</w:t>
        <w:br/>
        <w:br/>
        <w:t># 2. ETL : exécuter src/etl/ dans l'ordre puis transfert_bd.ipynb</w:t>
        <w:br/>
        <w:t># 3. ML  : exécuter src/ml/ 01 → 07 dans l'ordre</w:t>
        <w:br/>
        <w:t># 4. Dashboard (depuis la racine)</w:t>
        <w:br/>
        <w:t>streamlit run src/app/app.py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