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r>
        <w:t>Sí. Al revisar la Carta Gantt, ninguna de las actividades planificadas para los 6 Sprints presenta retraso: se completaron el levantamiento y análisis de requerimientos, el diseño de la base de datos y las funciones base de la app (mapa de grifos, grifo operativo más cercano y actualización de estado con registro de auditoría), y cumplimos el 100% de las horas comprometidas por Sprint (54 horas, equivalentes al 50% de avance global). Las actividades que aún no se inician corresponden a la segunda mitad del plan (ajustes según retroalimentación, preparación y entrega final, buffer) o se postergaron de forma deliberada (sincronización offline, pruebas de estrés de conectividad y marcha blanca).</w:t>
      </w:r>
    </w:p>
    <w:p w14:paraId="1D20DF82" w14:textId="77777777" w:rsidR="004F2A8B" w:rsidRDefault="004F2A8B" w:rsidP="3D28A338">
      <w:pPr>
        <w:spacing w:after="0" w:line="360" w:lineRule="auto"/>
        <w:jc w:val="both"/>
        <w:rPr>
          <w:color w:val="595959" w:themeColor="text1" w:themeTint="A6"/>
          <w:sz w:val="24"/>
          <w:szCs w:val="24"/>
          <w:lang w:eastAsia="ja-JP"/>
        </w:rPr>
      </w:pPr>
      <w:r>
        <w:t>Factores que facilitaron el trabajo: los Sprints semanales de 5 días hábiles con reuniones daily sincrónicas 3 veces por semana y seguimiento en los gráficos Burndown; el acceso directo a la Compañía de Bomberos de Villa Alhué, que permitió validar requerimientos y reevaluar el alcance a tiempo; las decisiones técnicas (PostgreSQL con PostGIS para el grifo más cercano y políticas RLS en Supabase para proteger Tesorería y Actas); y la documentación temprana (DAS 4+1, EDT y Backlog con estimación Fibonacci).</w:t>
      </w:r>
    </w:p>
    <w:p w14:paraId="1D20DF82" w14:textId="77777777" w:rsidR="004F2A8B" w:rsidRDefault="004F2A8B" w:rsidP="3D28A338">
      <w:pPr>
        <w:spacing w:after="0" w:line="360" w:lineRule="auto"/>
        <w:jc w:val="both"/>
        <w:rPr>
          <w:color w:val="595959" w:themeColor="text1" w:themeTint="A6"/>
          <w:sz w:val="24"/>
          <w:szCs w:val="24"/>
          <w:lang w:eastAsia="ja-JP"/>
        </w:rPr>
      </w:pPr>
      <w:r>
        <w:t>Factores que dificultaron el trabajo: la coordinación insuficiente por chat asincrónico al inicio, la falta de información autorizada sobre las redes de agua (cooperativa y APR) para US-03, la incorporación de un alcance que no era esencial (US-05) y la complejidad técnica de la sincronización offline.</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r>
        <w:t>Enfrentamos la coordinación asincrónica pasando a Sprints semanales y a daily sincrónicas 3 veces por semana. Para US-03 (distinguir red cooperativa o APR) decidimos descartarla para Alhué por confidencialidad de la información: sin autorización formal no podemos garantizar datos confiables a los bomberos. US-05 (litros extraídos) se descartó tras reevaluarla con Bomberos, porque no es indispensable para la atención inmediata de una emergencia, y las horas se destinaron a Tesorería, Actas e Inventario. Ambos cambios quedaron registrados formalmente en el Control de Cambios.</w:t>
      </w:r>
    </w:p>
    <w:p w14:paraId="120C1991" w14:textId="77777777" w:rsidR="004F2A8B" w:rsidRDefault="004F2A8B" w:rsidP="3D28A338">
      <w:pPr>
        <w:spacing w:after="0" w:line="360" w:lineRule="auto"/>
        <w:jc w:val="both"/>
        <w:rPr>
          <w:color w:val="595959" w:themeColor="text1" w:themeTint="A6"/>
          <w:sz w:val="24"/>
          <w:szCs w:val="24"/>
          <w:lang w:eastAsia="ja-JP"/>
        </w:rPr>
      </w:pPr>
      <w:r>
        <w:t>Para la sincronización offline, que fue la dificultad técnica mayor, la postergamos a la segunda fase para asegurar un producto estable al 50% de avance. La abordaremos una vez estabilizados los módulos actuales, en incrementos pequeños y con validación en cada Sprint, comenzando por el almacenamiento local de consultas críticas (por ejemplo, grifos cercanos) y luego la sincronización. La marcha blanca la coordinaremos con anticipación con la Compañía de Bomberos y la programaremos en los últimos Sprints, con tiempo para corregir hallazgos. Además, revisamos la consistencia entre todos los documentos de la entrega.</w:t>
      </w:r>
    </w:p>
    <w:p w14:paraId="753D9B33" w14:textId="66F064FE"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r>
        <w:t>Evaluamos nuestro trabajo como positivo: cumplimos el 100% de las horas comprometidas en cada Sprint y entregamos módulos funcionales que responden a necesidades reales de Bomberos (mapa y grifo operativo más cercano, actualización de estado, Tesorería, digitalización de actas e inventario por carro). Destacamos especialmente la seguridad aplicada desde la base de datos con RLS, probada con un rol bombero y un rol tesorero, y la documentación formal (DAS, EDT, Product y Sprint Backlog, Control de Cambios).</w:t>
      </w:r>
    </w:p>
    <w:p w14:paraId="2C4D5001" w14:textId="77777777" w:rsidR="004F2A8B" w:rsidRDefault="004F2A8B" w:rsidP="3D28A338">
      <w:pPr>
        <w:spacing w:after="0" w:line="360" w:lineRule="auto"/>
        <w:jc w:val="both"/>
        <w:rPr>
          <w:color w:val="595959" w:themeColor="text1" w:themeTint="A6"/>
          <w:sz w:val="24"/>
          <w:szCs w:val="24"/>
          <w:lang w:eastAsia="ja-JP"/>
        </w:rPr>
      </w:pPr>
      <w:r>
        <w:t>Podemos mejorar en poner un tope de alcance más temprano para evitar historias que luego se descartan, en estimar mejor las horas de cada Sprint (varias iteraciones terminaron por debajo de lo planificado), en validar antes con Bomberos y en mantener los documentos consistentes entre sí.</w:t>
      </w: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r>
        <w:t>Nos queda la inquietud de cómo usar el buffer de contingencia si el motor de sincronización offline se complica en la segunda fase. Nuestra pregunta para el docente es: ¿conviene destinar esa holgura a completar una versión simplificada del modo offline (almacenamiento local de consultas críticas, como los grifos cercanos) o reservarla para la marcha blanca y los ajustes según la retroalimentación de Bomberos?</w:t>
      </w: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r>
        <w:t>Sí, parcialmente. La carga acumulada está equilibrada (Felipe 18 h, Marco 16 h y Nicolás 20 h en los 6 Sprints), pero varias actividades de la segunda fase aún figuran con responsable por confirmar. Proponemos asignarlas al inicio del Sprint 7 considerando la carga acumulada, para mantener el equilibrio.</w:t>
      </w:r>
    </w:p>
    <w:p w14:paraId="1D707DA5" w14:textId="77777777" w:rsidR="004F2A8B" w:rsidRDefault="004F2A8B" w:rsidP="3D28A338">
      <w:pPr>
        <w:spacing w:after="0" w:line="360" w:lineRule="auto"/>
        <w:jc w:val="both"/>
        <w:rPr>
          <w:color w:val="595959" w:themeColor="text1" w:themeTint="A6"/>
          <w:sz w:val="24"/>
          <w:szCs w:val="24"/>
          <w:lang w:eastAsia="ja-JP"/>
        </w:rPr>
      </w:pPr>
      <w:r>
        <w:t>Hay actividades nuevas que deben asignarse: el almacenamiento local y la sincronización offline, las pruebas de estrés de conectividad, la marcha blanca con Bomberos, la documentación final y la preparación de la entrega.</w:t>
      </w: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r>
        <w:t>Evaluamos el trabajo en grupo de forma positiva. Destacamos la carga de horas equilibrada entre los tres integrantes, las reuniones daily sincrónicas 3 veces por semana, que mejoraron el seguimiento, y el cumplimiento del 100% de las horas comprometidas por Sprint.</w:t>
      </w:r>
    </w:p>
    <w:p w14:paraId="6A07B6E2" w14:textId="77777777" w:rsidR="004F2A8B" w:rsidRDefault="004F2A8B" w:rsidP="3D28A338">
      <w:pPr>
        <w:spacing w:after="0" w:line="360" w:lineRule="auto"/>
        <w:jc w:val="both"/>
        <w:rPr>
          <w:color w:val="595959" w:themeColor="text1" w:themeTint="A6"/>
          <w:sz w:val="24"/>
          <w:szCs w:val="24"/>
          <w:lang w:eastAsia="ja-JP"/>
        </w:rPr>
      </w:pPr>
      <w:r>
        <w:t>Podemos mejorar la coordinación, que al inicio dependía del chat asincrónico (ya la corregimos con las dailies), la definición de responsables para todas las actividades del plan y la consistencia entre documentos, para lo cual haremos una revisión cruzada antes de cada entrega.</w:t>
      </w: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