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bookmarkStart w:id="0" w:name="_heading=h.tlir4d7bs1nu" w:colFirst="0" w:colLast="0"/>
      <w:bookmarkEnd w:id="0"/>
    </w:p>
    <w:p w14:paraId="00000002">
      <w:pPr>
        <w:rPr>
          <w:b/>
          <w:bCs/>
        </w:rPr>
      </w:pPr>
      <w: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2226550" y="2998950"/>
                          <a:ext cx="6238875" cy="1562100"/>
                          <a:chOff x="2226550" y="2998950"/>
                          <a:chExt cx="6238900" cy="1562100"/>
                        </a:xfrm>
                      </wpg:grpSpPr>
                      <wpg:grpSp>
                        <wpg:cNvPr id="1" name="Grupo 1"/>
                        <wpg:cNvGrpSpPr/>
                        <wpg:grpSpPr>
                          <a:xfrm>
                            <a:off x="2226563" y="2998950"/>
                            <a:ext cx="6238875" cy="1562100"/>
                            <a:chOff x="0" y="0"/>
                            <a:chExt cx="5991225" cy="1562100"/>
                          </a:xfrm>
                        </wpg:grpSpPr>
                        <wps:wsp>
                          <wps:cNvPr id="3" name="Shape 3"/>
                          <wps:cNvSpPr/>
                          <wps:spPr>
                            <a:xfrm>
                              <a:off x="0" y="0"/>
                              <a:ext cx="5991225" cy="1562100"/>
                            </a:xfrm>
                            <a:prstGeom prst="rect">
                              <a:avLst/>
                            </a:prstGeom>
                            <a:noFill/>
                            <a:ln>
                              <a:noFill/>
                            </a:ln>
                          </wps:spPr>
                          <wps:txbx>
                            <w:txbxContent>
                              <w:p w14:paraId="2777069C">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1024671" y="299473"/>
                              <a:ext cx="4966554" cy="1262627"/>
                            </a:xfrm>
                            <a:prstGeom prst="rect">
                              <a:avLst/>
                            </a:prstGeom>
                            <a:noFill/>
                            <a:ln>
                              <a:noFill/>
                            </a:ln>
                          </wps:spPr>
                          <wps:txbx>
                            <w:txbxContent>
                              <w:p w14:paraId="32613FC2">
                                <w:pPr>
                                  <w:spacing w:before="0" w:after="0" w:line="240" w:lineRule="auto"/>
                                  <w:ind w:left="0" w:right="0" w:firstLine="0"/>
                                  <w:jc w:val="left"/>
                                </w:pPr>
                              </w:p>
                              <w:p w14:paraId="3C84CEA6">
                                <w:pPr>
                                  <w:spacing w:before="0" w:after="0" w:line="240" w:lineRule="auto"/>
                                  <w:ind w:left="0" w:right="0" w:firstLine="0"/>
                                  <w:jc w:val="left"/>
                                </w:pPr>
                                <w:r>
                                  <w:rPr>
                                    <w:rFonts w:ascii="Calibri" w:hAnsi="Calibri" w:eastAsia="Calibri" w:cs="Calibri"/>
                                    <w:b/>
                                    <w:i w:val="0"/>
                                    <w:smallCaps w:val="0"/>
                                    <w:strike w:val="0"/>
                                    <w:color w:val="1F3864"/>
                                    <w:sz w:val="48"/>
                                    <w:vertAlign w:val="baseline"/>
                                  </w:rPr>
                                  <w:t xml:space="preserve">Guía2. Desarrollo Proyecto APT </w:t>
                                </w:r>
                              </w:p>
                              <w:p w14:paraId="005458B2">
                                <w:pPr>
                                  <w:spacing w:before="0" w:after="0" w:line="240" w:lineRule="auto"/>
                                  <w:ind w:left="0" w:right="0" w:firstLine="0"/>
                                  <w:jc w:val="left"/>
                                </w:pPr>
                                <w:r>
                                  <w:rPr>
                                    <w:rFonts w:ascii="Calibri" w:hAnsi="Calibri" w:eastAsia="Calibri" w:cs="Calibri"/>
                                    <w:b/>
                                    <w:i w:val="0"/>
                                    <w:smallCaps w:val="0"/>
                                    <w:strike w:val="0"/>
                                    <w:color w:val="1F3864"/>
                                    <w:sz w:val="48"/>
                                    <w:vertAlign w:val="baseline"/>
                                  </w:rPr>
                                  <w:t>Asignatura Capstone</w:t>
                                </w:r>
                              </w:p>
                            </w:txbxContent>
                          </wps:txbx>
                          <wps:bodyPr spcFirstLastPara="1" wrap="square" lIns="91425" tIns="45700" rIns="91425" bIns="45700" anchor="t" anchorCtr="0">
                            <a:noAutofit/>
                          </wps:bodyPr>
                        </wps:wsp>
                        <wps:wsp>
                          <wps:cNvPr id="5" name="Shape 5"/>
                          <wps:cNvSpPr/>
                          <wps:spPr>
                            <a:xfrm>
                              <a:off x="0" y="0"/>
                              <a:ext cx="993140" cy="1486894"/>
                            </a:xfrm>
                            <a:prstGeom prst="rect">
                              <a:avLst/>
                            </a:prstGeom>
                            <a:solidFill>
                              <a:srgbClr val="1F3864"/>
                            </a:solidFill>
                            <a:ln>
                              <a:noFill/>
                            </a:ln>
                          </wps:spPr>
                          <wps:txbx>
                            <w:txbxContent>
                              <w:p w14:paraId="447C23AE">
                                <w:pPr>
                                  <w:spacing w:before="0" w:after="0" w:line="240" w:lineRule="auto"/>
                                  <w:ind w:left="0" w:right="0" w:firstLine="0"/>
                                  <w:jc w:val="left"/>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0pt;margin-top:0.75pt;height:123pt;width:491.25pt;z-index:251659264;mso-width-relative:page;mso-height-relative:page;" coordorigin="2226550,2998950" coordsize="6238900,1562100" o:gfxdata="UEsDBAoAAAAAAIdO4kAAAAAAAAAAAAAAAAAEAAAAZHJzL1BLAwQUAAAACACHTuJAZvdpvdcAAAAG&#10;AQAADwAAAGRycy9kb3ducmV2LnhtbE2PQUvDQBCF74L/YRnBm90kGm1jNkWKeiqCrSC9TZNpEpqd&#10;Ddlt0v57x5Pe5s0b3vsmX55tp0YafOvYQDyLQBGXrmq5NvC1fbubg/IBucLOMRm4kIdlcX2VY1a5&#10;iT9p3IRaSQj7DA00IfSZ1r5syKKfuZ5YvIMbLAaRQ62rAScJt51OouhRW2xZGhrsadVQedycrIH3&#10;CaeX+/h1XB8Pq8tum358r2My5vYmjp5BBTqHv2P4xRd0KIRp705cedUZkEeCbFNQYi7miQx7A8nD&#10;Uwq6yPV//OIHUEsDBBQAAAAIAIdO4kCE1I6f2AIAAEIKAAAOAAAAZHJzL2Uyb0RvYy54bWzdVllu&#10;2zAQ/S/QOxD8b2TJkiwJkYMiqY0CQWsg7QFoiloASWRJesntO6QWL0nbLGgRFAZkjjgezrz3ZszL&#10;q31Toy2TquJtit2LCUaspTyr2iLF378tPkQYKU3ajNS8ZSm+Zwpfzd+/u9yJhHm85HXGJIIgrUp2&#10;IsWl1iJxHEVL1hB1wQVrYTPnsiEaTFk4mSQ7iN7UjjeZhM6Oy0xITplS8Pam28R9RPmUgDzPK8pu&#10;ON00rNVdVMlqoqEkVVZC4bnNNs8Z1V/zXDGN6hRDpdo+4RBYr83TmV+SpJBElBXtUyBPSeGspoZU&#10;LRw6hrohmqCNrB6EaioqueK5vqC8cbpCLCJQhTs5w2Yp+UbYWopkV4gRdCDqDPUXh6VftiuJqizF&#10;HvDekgYYX8qN4AhsAGcnigR8llLciZXsXxSdZerd57Ix31AJ2kMQzwuDAMC9h3UcRzGsLcRsrxEF&#10;h9CbRtEswIiChxuEnjvpPWgJTP02Bi0/HUWJ4YfnUZwhIcfkPaY5Gn8XQfcUQPel+IXTV+HXoT+i&#10;OmAWxLHreQ+R/yVm0N7qoDn1Os3dlUQwK2Vl9NRrDgrtJGe30bRDzHqMclOJAuU9orWTOgd9/bFK&#10;kgip9JLxBplFiiXMCNu6ZHurNIgVABlczKktX1R1bUVctycvwNG8Aa0NOZqV3q/3tk9UsubZPVSq&#10;BF1UcNYtUXpFJMwXUMoOZk6K1Y8NkQyj+nMLAMeubwjSx4Y8NtbHBmlpyWGUUS0x6oxrbUdbl+XH&#10;jeZ5ZSsyeXXJ9OkCs6a3/wHF/inF/rModieeH84ArW6c+DOrEJIMbPtxCOMGjrDTxAvhMzMHjJo+&#10;UPnG2faDmZlnj7Dd7wxs6zfMNWj3uJ2DZ3H9aDvH8dT1Ycfy60dhFFsBvZxfxesqMw1tekTJYn1d&#10;S7QlcDtwF9MoHKKfuP1nbX/4b7TDwF4tbMv01yBzdzm2rdfh6jf/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Gb3ab3XAAAABgEAAA8AAAAAAAAAAQAgAAAAIgAAAGRycy9kb3ducmV2LnhtbFBLAQIU&#10;ABQAAAAIAIdO4kCE1I6f2AIAAEIKAAAOAAAAAAAAAAEAIAAAACYBAABkcnMvZTJvRG9jLnhtbFBL&#10;BQYAAAAABgAGAFkBAABwBgAAAAA=&#10;">
                <o:lock v:ext="edit" aspectratio="f"/>
                <v:group id="_x0000_s1026" o:spid="_x0000_s1026" o:spt="203" style="position:absolute;left:2226563;top:2998950;height:1562100;width:6238875;" coordsize="5991225,15621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1562100;width:5991225;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777069C">
                          <w:pPr>
                            <w:spacing w:before="0" w:after="0" w:line="240" w:lineRule="auto"/>
                            <w:ind w:left="0" w:right="0" w:firstLine="0"/>
                            <w:jc w:val="left"/>
                          </w:pPr>
                        </w:p>
                      </w:txbxContent>
                    </v:textbox>
                  </v:rect>
                  <v:rect id="Shape 4" o:spid="_x0000_s1026" o:spt="1" style="position:absolute;left:1024671;top:299473;height:1262627;width:4966554;" filled="f" stroked="f" coordsize="21600,21600" o:gfxdata="UEsDBAoAAAAAAIdO4kAAAAAAAAAAAAAAAAAEAAAAZHJzL1BLAwQUAAAACACHTuJA4r6yx7kAAADa&#10;AAAADwAAAGRycy9kb3ducmV2LnhtbEWPT4vCMBTE78J+h/AW9maTispSjR6WFdyj1YPHR/O2LSYv&#10;JYn/vr0RBI/DzPyGWa5vzooLhdh71lAWCgRx403PrYbDfjP+BhETskHrmTTcKcJ69TFaYmX8lXd0&#10;qVMrMoRjhRq6lIZKyth05DAWfiDO3r8PDlOWoZUm4DXDnZUTpebSYc95ocOBfjpqTvXZaRjImrOd&#10;1urYyN/A5fxvL+8zrb8+S7UAkeiW3uFXe2s0TOF5Jd8AuXo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sse5AAAA2gAA&#10;AA8AAAAAAAAAAQAgAAAAIgAAAGRycy9kb3ducmV2LnhtbFBLAQIUABQAAAAIAIdO4kAzLwWeOwAA&#10;ADkAAAAQAAAAAAAAAAEAIAAAAAgBAABkcnMvc2hhcGV4bWwueG1sUEsFBgAAAAAGAAYAWwEAALID&#10;AAAAAA==&#10;">
                    <v:fill on="f" focussize="0,0"/>
                    <v:stroke on="f"/>
                    <v:imagedata o:title=""/>
                    <o:lock v:ext="edit" aspectratio="f"/>
                    <v:textbox inset="7.1988188976378pt,3.59842519685039pt,7.1988188976378pt,3.59842519685039pt">
                      <w:txbxContent>
                        <w:p w14:paraId="32613FC2">
                          <w:pPr>
                            <w:spacing w:before="0" w:after="0" w:line="240" w:lineRule="auto"/>
                            <w:ind w:left="0" w:right="0" w:firstLine="0"/>
                            <w:jc w:val="left"/>
                          </w:pPr>
                        </w:p>
                        <w:p w14:paraId="3C84CEA6">
                          <w:pPr>
                            <w:spacing w:before="0" w:after="0" w:line="240" w:lineRule="auto"/>
                            <w:ind w:left="0" w:right="0" w:firstLine="0"/>
                            <w:jc w:val="left"/>
                          </w:pPr>
                          <w:r>
                            <w:rPr>
                              <w:rFonts w:ascii="Calibri" w:hAnsi="Calibri" w:eastAsia="Calibri" w:cs="Calibri"/>
                              <w:b/>
                              <w:i w:val="0"/>
                              <w:smallCaps w:val="0"/>
                              <w:strike w:val="0"/>
                              <w:color w:val="1F3864"/>
                              <w:sz w:val="48"/>
                              <w:vertAlign w:val="baseline"/>
                            </w:rPr>
                            <w:t xml:space="preserve">Guía2. Desarrollo Proyecto APT </w:t>
                          </w:r>
                        </w:p>
                        <w:p w14:paraId="005458B2">
                          <w:pPr>
                            <w:spacing w:before="0" w:after="0" w:line="240" w:lineRule="auto"/>
                            <w:ind w:left="0" w:right="0" w:firstLine="0"/>
                            <w:jc w:val="left"/>
                          </w:pPr>
                          <w:r>
                            <w:rPr>
                              <w:rFonts w:ascii="Calibri" w:hAnsi="Calibri" w:eastAsia="Calibri" w:cs="Calibri"/>
                              <w:b/>
                              <w:i w:val="0"/>
                              <w:smallCaps w:val="0"/>
                              <w:strike w:val="0"/>
                              <w:color w:val="1F3864"/>
                              <w:sz w:val="48"/>
                              <w:vertAlign w:val="baseline"/>
                            </w:rPr>
                            <w:t>Asignatura Capstone</w:t>
                          </w:r>
                        </w:p>
                      </w:txbxContent>
                    </v:textbox>
                  </v:rect>
                  <v:rect id="Shape 5" o:spid="_x0000_s1026" o:spt="1" style="position:absolute;left:0;top:0;height:1486894;width:993140;v-text-anchor:middle;" fillcolor="#1F3864" filled="t" stroked="f" coordsize="21600,21600" o:gfxdata="UEsDBAoAAAAAAIdO4kAAAAAAAAAAAAAAAAAEAAAAZHJzL1BLAwQUAAAACACHTuJA3BzRm7oAAADa&#10;AAAADwAAAGRycy9kb3ducmV2LnhtbEWPT4vCMBTE7wv7HcITvK1phYrtmoosiF7VHvb4aN622TYv&#10;pYn/vr0RBI/DzPyGWa1vthcXGr1xrCCdJSCIa6cNNwqq0/ZrCcIHZI29Y1JwJw/r8vNjhYV2Vz7Q&#10;5RgaESHsC1TQhjAUUvq6JYt+5gbi6P250WKIcmykHvEa4baX8yRZSIuG40KLA/20VHfHs1WQV7n5&#10;rTK3nIdN+n/oUq4ys1NqOkmTbxCBbuEdfrX3WkEGzyvxBs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HNGbugAAANo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447C23AE">
                          <w:pPr>
                            <w:spacing w:before="0" w:after="0" w:line="240" w:lineRule="auto"/>
                            <w:ind w:left="0" w:right="0" w:firstLine="0"/>
                            <w:jc w:val="left"/>
                          </w:pPr>
                        </w:p>
                      </w:txbxContent>
                    </v:textbox>
                  </v:rect>
                </v:group>
              </v:group>
            </w:pict>
          </mc:Fallback>
        </mc:AlternateContent>
      </w:r>
    </w:p>
    <w:p w14:paraId="00000003">
      <w:pPr>
        <w:rPr>
          <w:color w:val="595959"/>
          <w:sz w:val="24"/>
          <w:szCs w:val="24"/>
        </w:rPr>
      </w:pPr>
    </w:p>
    <w:p w14:paraId="00000004">
      <w:pPr>
        <w:rPr>
          <w:color w:val="595959"/>
          <w:sz w:val="24"/>
          <w:szCs w:val="24"/>
        </w:rPr>
      </w:pPr>
    </w:p>
    <w:p w14:paraId="00000005">
      <w:pPr>
        <w:rPr>
          <w:color w:val="595959"/>
          <w:sz w:val="24"/>
          <w:szCs w:val="24"/>
        </w:rPr>
      </w:pPr>
    </w:p>
    <w:p w14:paraId="00000006">
      <w:pPr>
        <w:rPr>
          <w:color w:val="595959"/>
          <w:sz w:val="24"/>
          <w:szCs w:val="24"/>
        </w:rPr>
      </w:pPr>
    </w:p>
    <w:p w14:paraId="00000007">
      <w:pPr>
        <w:rPr>
          <w:color w:val="595959"/>
          <w:sz w:val="24"/>
          <w:szCs w:val="24"/>
        </w:rPr>
      </w:pPr>
    </w:p>
    <w:p w14:paraId="00000008">
      <w:pPr>
        <w:rPr>
          <w:color w:val="595959"/>
          <w:sz w:val="24"/>
          <w:szCs w:val="24"/>
        </w:rPr>
      </w:pPr>
    </w:p>
    <w:tbl>
      <w:tblPr>
        <w:tblStyle w:val="30"/>
        <w:tblW w:w="9639" w:type="dxa"/>
        <w:tblInd w:w="-57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639"/>
      </w:tblGrid>
      <w:tr w14:paraId="60225F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40" w:hRule="atLeast"/>
        </w:trPr>
        <w:tc>
          <w:tcPr>
            <w:vAlign w:val="center"/>
          </w:tcPr>
          <w:p w14:paraId="00000009">
            <w:pPr>
              <w:rPr>
                <w:b/>
                <w:bCs/>
                <w:color w:val="1F3864"/>
                <w:sz w:val="28"/>
                <w:szCs w:val="28"/>
              </w:rPr>
            </w:pPr>
            <w:r>
              <w:rPr>
                <w:b/>
                <w:bCs/>
                <w:color w:val="1F3864"/>
                <w:sz w:val="28"/>
                <w:szCs w:val="28"/>
                <w:rtl w:val="0"/>
              </w:rPr>
              <w:t>1. Resumen avance Proyecto APT</w:t>
            </w:r>
          </w:p>
        </w:tc>
      </w:tr>
      <w:tr w14:paraId="3D4B97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800" w:hRule="atLeast"/>
        </w:trPr>
        <w:tc>
          <w:tcPr>
            <w:shd w:val="clear" w:color="auto" w:fill="D9E2F3"/>
            <w:vAlign w:val="center"/>
          </w:tcPr>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A continuación, encontrarás distintos campos que deberás completar con la información solicitada. </w:t>
            </w:r>
          </w:p>
        </w:tc>
      </w:tr>
    </w:tbl>
    <w:p w14:paraId="0000000B">
      <w:pPr>
        <w:spacing w:after="0" w:line="240" w:lineRule="auto"/>
        <w:rPr>
          <w:color w:val="595959"/>
          <w:sz w:val="24"/>
          <w:szCs w:val="24"/>
        </w:rPr>
      </w:pPr>
    </w:p>
    <w:p w14:paraId="0000000C">
      <w:pPr>
        <w:spacing w:after="0" w:line="240" w:lineRule="auto"/>
        <w:rPr>
          <w:color w:val="595959"/>
          <w:sz w:val="24"/>
          <w:szCs w:val="24"/>
        </w:rPr>
      </w:pPr>
    </w:p>
    <w:tbl>
      <w:tblPr>
        <w:tblStyle w:val="31"/>
        <w:tblW w:w="9639" w:type="dxa"/>
        <w:tblInd w:w="-57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528"/>
        <w:gridCol w:w="7111"/>
      </w:tblGrid>
      <w:tr w14:paraId="791FD6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vAlign w:val="center"/>
          </w:tcPr>
          <w:p w14:paraId="0000000D">
            <w:pPr>
              <w:rPr>
                <w:rFonts w:ascii="Calibri" w:hAnsi="Calibri" w:eastAsia="Calibri" w:cs="Calibri"/>
                <w:color w:val="1F3864"/>
                <w:sz w:val="22"/>
                <w:szCs w:val="22"/>
              </w:rPr>
            </w:pPr>
            <w:r>
              <w:rPr>
                <w:rFonts w:ascii="Calibri" w:hAnsi="Calibri" w:eastAsia="Calibri" w:cs="Calibri"/>
                <w:color w:val="1F3864"/>
                <w:sz w:val="22"/>
                <w:szCs w:val="22"/>
                <w:rtl w:val="0"/>
              </w:rPr>
              <w:t>Resumen de avance proyecto APT</w:t>
            </w:r>
          </w:p>
        </w:tc>
        <w:tc>
          <w:p w14:paraId="0000000E">
            <w:pPr>
              <w:pStyle w:val="5"/>
              <w:keepNext w:val="0"/>
              <w:keepLines w:val="0"/>
              <w:spacing w:line="335" w:lineRule="auto"/>
              <w:jc w:val="both"/>
              <w:rPr>
                <w:color w:val="1F1F1F"/>
                <w:sz w:val="20"/>
                <w:szCs w:val="20"/>
              </w:rPr>
            </w:pPr>
            <w:bookmarkStart w:id="1" w:name="_heading=h.wdgxn8gvejpj" w:colFirst="0" w:colLast="0"/>
            <w:bookmarkEnd w:id="1"/>
            <w:r>
              <w:rPr>
                <w:color w:val="1F1F1F"/>
                <w:sz w:val="20"/>
                <w:szCs w:val="20"/>
                <w:rtl w:val="0"/>
              </w:rPr>
              <w:t>Actividades llevadas a cabo</w:t>
            </w:r>
          </w:p>
          <w:p w14:paraId="0000000F">
            <w:pPr>
              <w:spacing w:after="120" w:line="360" w:lineRule="auto"/>
              <w:jc w:val="both"/>
              <w:rPr>
                <w:color w:val="1F1F1F"/>
                <w:sz w:val="20"/>
                <w:szCs w:val="20"/>
              </w:rPr>
            </w:pPr>
            <w:r>
              <w:rPr>
                <w:color w:val="1F1F1F"/>
                <w:sz w:val="20"/>
                <w:szCs w:val="20"/>
                <w:rtl w:val="0"/>
              </w:rPr>
              <w:t xml:space="preserve">Durante la primera mitad del desarrollo de nuestro proyecto destinado a los Cuerpos de Bomberos de Melipilla y Villa Alhué hemos completado un total de </w:t>
            </w:r>
            <w:r>
              <w:rPr>
                <w:b/>
                <w:bCs/>
                <w:color w:val="1F1F1F"/>
                <w:sz w:val="20"/>
                <w:szCs w:val="20"/>
                <w:rtl w:val="0"/>
              </w:rPr>
              <w:t>6 Sprints semanales</w:t>
            </w:r>
            <w:r>
              <w:rPr>
                <w:color w:val="1F1F1F"/>
                <w:sz w:val="20"/>
                <w:szCs w:val="20"/>
                <w:rtl w:val="0"/>
              </w:rPr>
              <w:t xml:space="preserve">, acumulando </w:t>
            </w:r>
            <w:r>
              <w:rPr>
                <w:b/>
                <w:bCs/>
                <w:color w:val="1F1F1F"/>
                <w:sz w:val="20"/>
                <w:szCs w:val="20"/>
                <w:rtl w:val="0"/>
              </w:rPr>
              <w:t>54 horas de trabajo</w:t>
            </w:r>
            <w:r>
              <w:rPr>
                <w:color w:val="1F1F1F"/>
                <w:sz w:val="20"/>
                <w:szCs w:val="20"/>
                <w:rtl w:val="0"/>
              </w:rPr>
              <w:t xml:space="preserve"> (correspondientes al </w:t>
            </w:r>
            <w:r>
              <w:rPr>
                <w:b/>
                <w:bCs/>
                <w:color w:val="1F1F1F"/>
                <w:sz w:val="20"/>
                <w:szCs w:val="20"/>
                <w:rtl w:val="0"/>
              </w:rPr>
              <w:t>50% de avance global del proyecto</w:t>
            </w:r>
            <w:r>
              <w:rPr>
                <w:color w:val="1F1F1F"/>
                <w:sz w:val="20"/>
                <w:szCs w:val="20"/>
                <w:rtl w:val="0"/>
              </w:rPr>
              <w:t>). Las actividades principales realizadas por el equipo las estructuramos en los siguientes hitos:</w:t>
            </w:r>
          </w:p>
          <w:p w14:paraId="00000010">
            <w:pPr>
              <w:numPr>
                <w:ilvl w:val="0"/>
                <w:numId w:val="1"/>
              </w:numPr>
              <w:spacing w:before="220" w:after="200"/>
              <w:ind w:left="720" w:hanging="360"/>
              <w:rPr>
                <w:sz w:val="20"/>
                <w:szCs w:val="20"/>
              </w:rPr>
            </w:pPr>
            <w:r>
              <w:rPr>
                <w:b/>
                <w:bCs/>
                <w:color w:val="1F1F1F"/>
                <w:sz w:val="20"/>
                <w:szCs w:val="20"/>
                <w:rtl w:val="0"/>
              </w:rPr>
              <w:t>Configuración inicial y mapeo geolocalizado (Sprint 1):</w:t>
            </w:r>
            <w:r>
              <w:rPr>
                <w:color w:val="1F1F1F"/>
                <w:sz w:val="20"/>
                <w:szCs w:val="20"/>
                <w:rtl w:val="0"/>
              </w:rPr>
              <w:t xml:space="preserve"> Definición de la visión del proyecto, asignación de roles Scrum, configuración del entorno local y desarrollo inicial de la interfaz en Flutter integrada con Google Maps</w:t>
            </w:r>
            <w:r>
              <w:rPr>
                <w:color w:val="1F1F1F"/>
                <w:sz w:val="20"/>
                <w:szCs w:val="20"/>
                <w:vertAlign w:val="superscript"/>
                <w:rtl w:val="0"/>
              </w:rPr>
              <w:t>]</w:t>
            </w:r>
            <w:r>
              <w:rPr>
                <w:color w:val="1F1F1F"/>
                <w:sz w:val="20"/>
                <w:szCs w:val="20"/>
                <w:rtl w:val="0"/>
              </w:rPr>
              <w:t xml:space="preserve">. Se programó la consulta del grifo operativo más cercano mediante funciones geoespaciales en </w:t>
            </w:r>
            <w:r>
              <w:rPr>
                <w:b/>
                <w:bCs/>
                <w:color w:val="1F1F1F"/>
                <w:sz w:val="20"/>
                <w:szCs w:val="20"/>
                <w:rtl w:val="0"/>
              </w:rPr>
              <w:t>PostGIS</w:t>
            </w:r>
            <w:r>
              <w:rPr>
                <w:color w:val="1F1F1F"/>
                <w:sz w:val="20"/>
                <w:szCs w:val="20"/>
                <w:rtl w:val="0"/>
              </w:rPr>
              <w:t xml:space="preserve"> sobre PostgreSQL.</w:t>
            </w:r>
          </w:p>
          <w:p w14:paraId="00000011">
            <w:pPr>
              <w:numPr>
                <w:ilvl w:val="0"/>
                <w:numId w:val="1"/>
              </w:numPr>
              <w:spacing w:before="0" w:after="200"/>
              <w:ind w:left="720" w:hanging="360"/>
              <w:rPr>
                <w:sz w:val="20"/>
                <w:szCs w:val="20"/>
              </w:rPr>
            </w:pPr>
            <w:r>
              <w:rPr>
                <w:b/>
                <w:bCs/>
                <w:color w:val="1F1F1F"/>
                <w:sz w:val="20"/>
                <w:szCs w:val="20"/>
                <w:rtl w:val="0"/>
              </w:rPr>
              <w:t>Levantamiento de requerimientos y gestión de estado (Sprint 2):</w:t>
            </w:r>
            <w:r>
              <w:rPr>
                <w:color w:val="1F1F1F"/>
                <w:sz w:val="20"/>
                <w:szCs w:val="20"/>
                <w:rtl w:val="0"/>
              </w:rPr>
              <w:t xml:space="preserve"> Reunión técnica con la Compañía de Bomberos de Villa Alhué, diseño de wireframes/mockups y desarrollo de la función de actualización del estado operativo de los grifos con registro de auditoría.</w:t>
            </w:r>
          </w:p>
          <w:p w14:paraId="00000012">
            <w:pPr>
              <w:numPr>
                <w:ilvl w:val="0"/>
                <w:numId w:val="1"/>
              </w:numPr>
              <w:spacing w:before="0" w:after="200"/>
              <w:ind w:left="720" w:hanging="360"/>
              <w:rPr>
                <w:sz w:val="20"/>
                <w:szCs w:val="20"/>
              </w:rPr>
            </w:pPr>
            <w:r>
              <w:rPr>
                <w:b/>
                <w:bCs/>
                <w:color w:val="1F1F1F"/>
                <w:sz w:val="20"/>
                <w:szCs w:val="20"/>
                <w:rtl w:val="0"/>
              </w:rPr>
              <w:t>Arquitectura y Seguridad Backend (Sprint 3):</w:t>
            </w:r>
            <w:r>
              <w:rPr>
                <w:color w:val="1F1F1F"/>
                <w:sz w:val="20"/>
                <w:szCs w:val="20"/>
                <w:rtl w:val="0"/>
              </w:rPr>
              <w:t xml:space="preserve"> Elaboración del </w:t>
            </w:r>
            <w:r>
              <w:rPr>
                <w:b/>
                <w:bCs/>
                <w:color w:val="1F1F1F"/>
                <w:sz w:val="20"/>
                <w:szCs w:val="20"/>
                <w:rtl w:val="0"/>
              </w:rPr>
              <w:t xml:space="preserve">Documento de Arquitectura de Software (DAS) </w:t>
            </w:r>
            <w:r>
              <w:rPr>
                <w:color w:val="1F1F1F"/>
                <w:sz w:val="20"/>
                <w:szCs w:val="20"/>
                <w:rtl w:val="0"/>
              </w:rPr>
              <w:t xml:space="preserve">bajo el estándar 4+1, despliegue de la base de datos en </w:t>
            </w:r>
            <w:r>
              <w:rPr>
                <w:b/>
                <w:bCs/>
                <w:color w:val="1F1F1F"/>
                <w:sz w:val="20"/>
                <w:szCs w:val="20"/>
                <w:rtl w:val="0"/>
              </w:rPr>
              <w:t>Supabase</w:t>
            </w:r>
            <w:r>
              <w:rPr>
                <w:color w:val="1F1F1F"/>
                <w:sz w:val="20"/>
                <w:szCs w:val="20"/>
                <w:rtl w:val="0"/>
              </w:rPr>
              <w:t xml:space="preserve"> y construcción del módulo de autenticación con control de acceso basado en roles (RBAC).</w:t>
            </w:r>
          </w:p>
          <w:p w14:paraId="00000013">
            <w:pPr>
              <w:numPr>
                <w:ilvl w:val="0"/>
                <w:numId w:val="1"/>
              </w:numPr>
              <w:spacing w:before="0" w:after="200"/>
              <w:ind w:left="720" w:hanging="360"/>
              <w:rPr>
                <w:sz w:val="20"/>
                <w:szCs w:val="20"/>
              </w:rPr>
            </w:pPr>
            <w:r>
              <w:rPr>
                <w:b/>
                <w:bCs/>
                <w:color w:val="1F1F1F"/>
                <w:sz w:val="20"/>
                <w:szCs w:val="20"/>
                <w:rtl w:val="0"/>
              </w:rPr>
              <w:t>Estructuración de formularios e insumos financieros (Sprint 4):</w:t>
            </w:r>
            <w:r>
              <w:rPr>
                <w:color w:val="1F1F1F"/>
                <w:sz w:val="20"/>
                <w:szCs w:val="20"/>
                <w:rtl w:val="0"/>
              </w:rPr>
              <w:t xml:space="preserve"> Diseño de formularios digitales de terreno y estructuración conceptual del modelo de datos para el registro de boletas de gastos.</w:t>
            </w:r>
          </w:p>
          <w:p w14:paraId="00000014">
            <w:pPr>
              <w:numPr>
                <w:ilvl w:val="0"/>
                <w:numId w:val="1"/>
              </w:numPr>
              <w:spacing w:before="0" w:after="200"/>
              <w:ind w:left="720" w:hanging="360"/>
              <w:rPr>
                <w:sz w:val="20"/>
                <w:szCs w:val="20"/>
              </w:rPr>
            </w:pPr>
            <w:r>
              <w:rPr>
                <w:b/>
                <w:bCs/>
                <w:color w:val="1F1F1F"/>
                <w:sz w:val="20"/>
                <w:szCs w:val="20"/>
                <w:rtl w:val="0"/>
              </w:rPr>
              <w:t>Gestión institucional y Actas (Sprint 5):</w:t>
            </w:r>
            <w:r>
              <w:rPr>
                <w:color w:val="1F1F1F"/>
                <w:sz w:val="20"/>
                <w:szCs w:val="20"/>
                <w:rtl w:val="0"/>
              </w:rPr>
              <w:t xml:space="preserve"> Elaboración de la Estructura de Desglose del Trabajo (EDT), implementación del buscador y digitalización de actas y acuerdos de directorio y desarrollo de la pantalla de resumen financiero de Tesorería en tiempo real.</w:t>
            </w:r>
          </w:p>
          <w:p w14:paraId="00000015">
            <w:pPr>
              <w:numPr>
                <w:ilvl w:val="0"/>
                <w:numId w:val="1"/>
              </w:numPr>
              <w:spacing w:before="220" w:after="200"/>
              <w:ind w:left="720" w:hanging="360"/>
              <w:rPr>
                <w:sz w:val="20"/>
                <w:szCs w:val="20"/>
              </w:rPr>
            </w:pPr>
            <w:r>
              <w:rPr>
                <w:b/>
                <w:bCs/>
                <w:color w:val="1F1F1F"/>
                <w:sz w:val="20"/>
                <w:szCs w:val="20"/>
                <w:rtl w:val="0"/>
              </w:rPr>
              <w:t>Inventario por carro y cierre documental (Sprint 6):</w:t>
            </w:r>
            <w:r>
              <w:rPr>
                <w:color w:val="1F1F1F"/>
                <w:sz w:val="20"/>
                <w:szCs w:val="20"/>
                <w:rtl w:val="0"/>
              </w:rPr>
              <w:t xml:space="preserve"> Desarrollo de la interfaz y consultas para el control del inventario de herramientas, mangueras y trajes asignados por carro de bomberos, junto con la consolidación y cierre de la documentación Scrum de la primera fase</w:t>
            </w:r>
          </w:p>
          <w:p w14:paraId="00000016">
            <w:pPr>
              <w:pStyle w:val="5"/>
              <w:keepNext w:val="0"/>
              <w:keepLines w:val="0"/>
              <w:spacing w:line="335" w:lineRule="auto"/>
              <w:rPr>
                <w:color w:val="1F1F1F"/>
                <w:sz w:val="20"/>
                <w:szCs w:val="20"/>
              </w:rPr>
            </w:pPr>
            <w:bookmarkStart w:id="2" w:name="_heading=h.iapb2khasm7t" w:colFirst="0" w:colLast="0"/>
            <w:bookmarkEnd w:id="2"/>
            <w:r>
              <w:rPr>
                <w:color w:val="1F1F1F"/>
                <w:sz w:val="20"/>
                <w:szCs w:val="20"/>
                <w:rtl w:val="0"/>
              </w:rPr>
              <w:t>Objetivos específicos cumplidos</w:t>
            </w:r>
          </w:p>
          <w:p w14:paraId="00000017">
            <w:pPr>
              <w:numPr>
                <w:ilvl w:val="0"/>
                <w:numId w:val="2"/>
              </w:numPr>
              <w:spacing w:before="220" w:after="200"/>
              <w:ind w:left="720" w:hanging="360"/>
              <w:rPr>
                <w:sz w:val="20"/>
                <w:szCs w:val="20"/>
              </w:rPr>
            </w:pPr>
            <w:r>
              <w:rPr>
                <w:b/>
                <w:bCs/>
                <w:color w:val="1F1F1F"/>
                <w:sz w:val="20"/>
                <w:szCs w:val="20"/>
                <w:rtl w:val="0"/>
              </w:rPr>
              <w:t>Mapeo Geoespacial Operativo:</w:t>
            </w:r>
            <w:r>
              <w:rPr>
                <w:color w:val="1F1F1F"/>
                <w:sz w:val="20"/>
                <w:szCs w:val="20"/>
                <w:rtl w:val="0"/>
              </w:rPr>
              <w:t xml:space="preserve"> Mapeo interactivo de grifos y determinación por GPS de la fuente de agua disponible más cercana para optimizar los tiempos de respuesta en emergencias.</w:t>
            </w:r>
          </w:p>
          <w:p w14:paraId="00000018">
            <w:pPr>
              <w:numPr>
                <w:ilvl w:val="0"/>
                <w:numId w:val="2"/>
              </w:numPr>
              <w:spacing w:before="0" w:after="200"/>
              <w:ind w:left="720" w:hanging="360"/>
              <w:rPr>
                <w:sz w:val="20"/>
                <w:szCs w:val="20"/>
              </w:rPr>
            </w:pPr>
            <w:r>
              <w:rPr>
                <w:b/>
                <w:bCs/>
                <w:color w:val="1F1F1F"/>
                <w:sz w:val="20"/>
                <w:szCs w:val="20"/>
                <w:rtl w:val="0"/>
              </w:rPr>
              <w:t>Control Institucional y Gestión Financiera:</w:t>
            </w:r>
            <w:r>
              <w:rPr>
                <w:color w:val="1F1F1F"/>
                <w:sz w:val="20"/>
                <w:szCs w:val="20"/>
                <w:rtl w:val="0"/>
              </w:rPr>
              <w:t xml:space="preserve"> Digitalización del historial de actas/acuerdos del directorio y desarrollo del Módulo de Tesorería con cálculo de saldo disponible, registro de ingresos/gastos y validación de descripciones.</w:t>
            </w:r>
          </w:p>
          <w:p w14:paraId="00000019">
            <w:pPr>
              <w:numPr>
                <w:ilvl w:val="0"/>
                <w:numId w:val="2"/>
              </w:numPr>
              <w:spacing w:before="0" w:after="200"/>
              <w:ind w:left="720" w:hanging="360"/>
              <w:rPr>
                <w:sz w:val="20"/>
                <w:szCs w:val="20"/>
              </w:rPr>
            </w:pPr>
            <w:r>
              <w:rPr>
                <w:b/>
                <w:bCs/>
                <w:color w:val="1F1F1F"/>
                <w:sz w:val="20"/>
                <w:szCs w:val="20"/>
                <w:rtl w:val="0"/>
              </w:rPr>
              <w:t>Control de Inventario por Vehículo:</w:t>
            </w:r>
            <w:r>
              <w:rPr>
                <w:color w:val="1F1F1F"/>
                <w:sz w:val="20"/>
                <w:szCs w:val="20"/>
                <w:rtl w:val="0"/>
              </w:rPr>
              <w:t xml:space="preserve"> Trazabilidad del equipamiento (herramientas, mangueras y EPP) distribuido por carro de bombas.</w:t>
            </w:r>
          </w:p>
          <w:p w14:paraId="0000001A">
            <w:pPr>
              <w:numPr>
                <w:ilvl w:val="0"/>
                <w:numId w:val="2"/>
              </w:numPr>
              <w:spacing w:before="220" w:after="200"/>
              <w:ind w:left="720" w:hanging="360"/>
              <w:rPr>
                <w:sz w:val="20"/>
                <w:szCs w:val="20"/>
              </w:rPr>
            </w:pPr>
            <w:r>
              <w:rPr>
                <w:b/>
                <w:bCs/>
                <w:color w:val="1F1F1F"/>
                <w:sz w:val="20"/>
                <w:szCs w:val="20"/>
                <w:rtl w:val="0"/>
              </w:rPr>
              <w:t>Implementación de Seguridad RBAC y RLS:</w:t>
            </w:r>
            <w:r>
              <w:rPr>
                <w:color w:val="1F1F1F"/>
                <w:sz w:val="20"/>
                <w:szCs w:val="20"/>
                <w:rtl w:val="0"/>
              </w:rPr>
              <w:t xml:space="preserve"> Blindaje de los datos institucionales sensibles (Tesorería y Actas) aplicando políticas de Row Level Security (RLS) en la base de datos.</w:t>
            </w:r>
          </w:p>
          <w:p w14:paraId="0000001B">
            <w:pPr>
              <w:spacing w:before="220" w:after="200"/>
              <w:rPr>
                <w:color w:val="1F1F1F"/>
                <w:sz w:val="20"/>
                <w:szCs w:val="20"/>
              </w:rPr>
            </w:pPr>
          </w:p>
        </w:tc>
      </w:tr>
      <w:tr w14:paraId="15E59C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247" w:hRule="atLeast"/>
        </w:trPr>
        <w:tc>
          <w:tcPr>
            <w:vAlign w:val="center"/>
          </w:tcPr>
          <w:p w14:paraId="0000001C">
            <w:pPr>
              <w:rPr>
                <w:rFonts w:ascii="Calibri" w:hAnsi="Calibri" w:eastAsia="Calibri" w:cs="Calibri"/>
                <w:color w:val="1F3864"/>
                <w:sz w:val="22"/>
                <w:szCs w:val="22"/>
              </w:rPr>
            </w:pPr>
            <w:r>
              <w:rPr>
                <w:rFonts w:ascii="Calibri" w:hAnsi="Calibri" w:eastAsia="Calibri" w:cs="Calibri"/>
                <w:color w:val="1F3864"/>
                <w:sz w:val="22"/>
                <w:szCs w:val="22"/>
                <w:rtl w:val="0"/>
              </w:rPr>
              <w:t>Objetivos</w:t>
            </w:r>
          </w:p>
        </w:tc>
        <w:tc>
          <w:tcPr>
            <w:vAlign w:val="center"/>
          </w:tcPr>
          <w:p w14:paraId="0000001D">
            <w:pPr>
              <w:spacing w:after="200" w:line="360" w:lineRule="auto"/>
              <w:jc w:val="both"/>
              <w:rPr>
                <w:b/>
                <w:bCs/>
                <w:color w:val="1F1F1F"/>
                <w:sz w:val="20"/>
                <w:szCs w:val="20"/>
              </w:rPr>
            </w:pPr>
            <w:r>
              <w:rPr>
                <w:b/>
                <w:bCs/>
                <w:color w:val="1F1F1F"/>
                <w:sz w:val="20"/>
                <w:szCs w:val="20"/>
                <w:rtl w:val="0"/>
              </w:rPr>
              <w:t>Ajustes al Alcance (Historias Descartadas y Reorganización):</w:t>
            </w:r>
          </w:p>
          <w:p w14:paraId="0000001E">
            <w:pPr>
              <w:numPr>
                <w:ilvl w:val="0"/>
                <w:numId w:val="3"/>
              </w:numPr>
              <w:spacing w:before="220" w:after="200"/>
              <w:ind w:left="720" w:hanging="360"/>
              <w:rPr>
                <w:rFonts w:ascii="Calibri" w:hAnsi="Calibri" w:eastAsia="Calibri" w:cs="Calibri"/>
                <w:b/>
                <w:bCs/>
                <w:sz w:val="20"/>
                <w:szCs w:val="20"/>
              </w:rPr>
            </w:pPr>
            <w:r>
              <w:rPr>
                <w:b/>
                <w:bCs/>
                <w:color w:val="1F1F1F"/>
                <w:sz w:val="20"/>
                <w:szCs w:val="20"/>
                <w:rtl w:val="0"/>
              </w:rPr>
              <w:t>US-03</w:t>
            </w:r>
            <w:r>
              <w:rPr>
                <w:color w:val="1F1F1F"/>
                <w:sz w:val="20"/>
                <w:szCs w:val="20"/>
                <w:rtl w:val="0"/>
              </w:rPr>
              <w:t xml:space="preserve"> (Diferenciación Cooperativa vs. APR):</w:t>
            </w:r>
            <w:r>
              <w:rPr>
                <w:b/>
                <w:bCs/>
                <w:color w:val="1F1F1F"/>
                <w:sz w:val="20"/>
                <w:szCs w:val="20"/>
                <w:rtl w:val="0"/>
              </w:rPr>
              <w:t xml:space="preserve"> </w:t>
            </w:r>
            <w:r>
              <w:rPr>
                <w:color w:val="1F1F1F"/>
                <w:sz w:val="20"/>
                <w:szCs w:val="20"/>
                <w:rtl w:val="0"/>
              </w:rPr>
              <w:t>Descartada para la comuna de Alhué debido a la ausencia de convenios formales con el APR local que autoricen y garanticen la confiabilidad de los datos de sus grifos.</w:t>
            </w:r>
          </w:p>
          <w:p w14:paraId="0000001F">
            <w:pPr>
              <w:numPr>
                <w:ilvl w:val="0"/>
                <w:numId w:val="3"/>
              </w:numPr>
              <w:spacing w:before="0" w:after="200"/>
              <w:ind w:left="720" w:hanging="360"/>
              <w:rPr>
                <w:rFonts w:ascii="Calibri" w:hAnsi="Calibri" w:eastAsia="Calibri" w:cs="Calibri"/>
                <w:b/>
                <w:bCs/>
                <w:sz w:val="20"/>
                <w:szCs w:val="20"/>
              </w:rPr>
            </w:pPr>
            <w:r>
              <w:rPr>
                <w:b/>
                <w:bCs/>
                <w:color w:val="1F1F1F"/>
                <w:sz w:val="20"/>
                <w:szCs w:val="20"/>
                <w:rtl w:val="0"/>
              </w:rPr>
              <w:t>US-05</w:t>
            </w:r>
            <w:r>
              <w:rPr>
                <w:color w:val="1F1F1F"/>
                <w:sz w:val="20"/>
                <w:szCs w:val="20"/>
                <w:rtl w:val="0"/>
              </w:rPr>
              <w:t xml:space="preserve"> (Registro de litros de agua extraídos): Descartada tras reevaluar con Bomberos que no constituye una función indispensable para la atención inmediata de emergencias.</w:t>
            </w:r>
          </w:p>
          <w:p w14:paraId="00000020">
            <w:pPr>
              <w:numPr>
                <w:ilvl w:val="0"/>
                <w:numId w:val="3"/>
              </w:numPr>
              <w:spacing w:before="220" w:after="200"/>
              <w:ind w:left="720" w:hanging="360"/>
              <w:rPr>
                <w:sz w:val="20"/>
                <w:szCs w:val="20"/>
              </w:rPr>
            </w:pPr>
            <w:r>
              <w:rPr>
                <w:b/>
                <w:bCs/>
                <w:color w:val="1F1F1F"/>
                <w:sz w:val="20"/>
                <w:szCs w:val="20"/>
                <w:rtl w:val="0"/>
              </w:rPr>
              <w:t>Replanificación de Sprints</w:t>
            </w:r>
            <w:r>
              <w:rPr>
                <w:color w:val="1F1F1F"/>
                <w:sz w:val="20"/>
                <w:szCs w:val="20"/>
                <w:rtl w:val="0"/>
              </w:rPr>
              <w:t xml:space="preserve"> (Backlog v4.0): Para asegurar un producto estable al 50% de avance, se postergó para una fase posterior el desarrollo del motor de sincronización offline complejo, las pruebas de estrés de conectividad y la marcha blanca con credenciales de prueba definitivas.</w:t>
            </w:r>
          </w:p>
          <w:p w14:paraId="00000021">
            <w:pPr>
              <w:jc w:val="both"/>
              <w:rPr>
                <w:b/>
                <w:bCs/>
                <w:i/>
                <w:iCs/>
                <w:color w:val="548DD4"/>
                <w:sz w:val="20"/>
                <w:szCs w:val="20"/>
              </w:rPr>
            </w:pPr>
          </w:p>
        </w:tc>
      </w:tr>
      <w:tr w14:paraId="7532EB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939" w:hRule="atLeast"/>
        </w:trPr>
        <w:tc>
          <w:tcPr>
            <w:vAlign w:val="center"/>
          </w:tcPr>
          <w:p w14:paraId="00000022">
            <w:pPr>
              <w:rPr>
                <w:rFonts w:ascii="Calibri" w:hAnsi="Calibri" w:eastAsia="Calibri" w:cs="Calibri"/>
                <w:color w:val="1F3864"/>
                <w:sz w:val="22"/>
                <w:szCs w:val="22"/>
              </w:rPr>
            </w:pPr>
            <w:r>
              <w:rPr>
                <w:rFonts w:ascii="Calibri" w:hAnsi="Calibri" w:eastAsia="Calibri" w:cs="Calibri"/>
                <w:color w:val="1F3864"/>
                <w:sz w:val="22"/>
                <w:szCs w:val="22"/>
                <w:rtl w:val="0"/>
              </w:rPr>
              <w:t>Metodología</w:t>
            </w:r>
          </w:p>
        </w:tc>
        <w:tc>
          <w:tcPr>
            <w:vAlign w:val="center"/>
          </w:tcPr>
          <w:p w14:paraId="00000023">
            <w:pPr>
              <w:spacing w:after="120" w:line="360" w:lineRule="auto"/>
              <w:jc w:val="both"/>
              <w:rPr>
                <w:b/>
                <w:bCs/>
                <w:color w:val="1F1F1F"/>
                <w:sz w:val="20"/>
                <w:szCs w:val="20"/>
              </w:rPr>
            </w:pPr>
            <w:r>
              <w:rPr>
                <w:b/>
                <w:bCs/>
                <w:color w:val="1F1F1F"/>
                <w:sz w:val="20"/>
                <w:szCs w:val="20"/>
                <w:rtl w:val="0"/>
              </w:rPr>
              <w:t>Ajustes Metodológicos:</w:t>
            </w:r>
          </w:p>
          <w:p w14:paraId="00000024">
            <w:pPr>
              <w:numPr>
                <w:ilvl w:val="0"/>
                <w:numId w:val="4"/>
              </w:numPr>
              <w:spacing w:before="220" w:after="200"/>
              <w:ind w:left="720" w:hanging="360"/>
              <w:rPr>
                <w:sz w:val="20"/>
                <w:szCs w:val="20"/>
              </w:rPr>
            </w:pPr>
            <w:r>
              <w:rPr>
                <w:color w:val="1F1F1F"/>
                <w:sz w:val="20"/>
                <w:szCs w:val="20"/>
                <w:rtl w:val="0"/>
              </w:rPr>
              <w:t xml:space="preserve">Transición a </w:t>
            </w:r>
            <w:r>
              <w:rPr>
                <w:b/>
                <w:bCs/>
                <w:color w:val="1F1F1F"/>
                <w:sz w:val="20"/>
                <w:szCs w:val="20"/>
                <w:rtl w:val="0"/>
              </w:rPr>
              <w:t>Sprints semanales de 5 días hábiles</w:t>
            </w:r>
            <w:r>
              <w:rPr>
                <w:color w:val="1F1F1F"/>
                <w:sz w:val="20"/>
                <w:szCs w:val="20"/>
                <w:rtl w:val="0"/>
              </w:rPr>
              <w:t xml:space="preserve"> con un supuesto de trabajo en equipo de 10 a 14 horas semanales.</w:t>
            </w:r>
          </w:p>
          <w:p w14:paraId="00000025">
            <w:pPr>
              <w:numPr>
                <w:ilvl w:val="0"/>
                <w:numId w:val="4"/>
              </w:numPr>
              <w:spacing w:before="220" w:after="200"/>
              <w:ind w:left="720" w:hanging="360"/>
              <w:rPr>
                <w:rFonts w:ascii="Calibri" w:hAnsi="Calibri" w:eastAsia="Calibri" w:cs="Calibri"/>
                <w:sz w:val="20"/>
                <w:szCs w:val="20"/>
              </w:rPr>
            </w:pPr>
            <w:r>
              <w:rPr>
                <w:color w:val="1F1F1F"/>
                <w:sz w:val="20"/>
                <w:szCs w:val="20"/>
                <w:rtl w:val="0"/>
              </w:rPr>
              <w:t>Incorporación de reuniones daily sincrónicas (3 veces por semana) para sustituir la coordinación asincrónica por chat, asegurando el seguimiento diario en los gráficos Burndown.</w:t>
            </w:r>
          </w:p>
          <w:p w14:paraId="00000026">
            <w:pPr>
              <w:jc w:val="both"/>
              <w:rPr>
                <w:i/>
                <w:iCs/>
                <w:color w:val="548DD4"/>
                <w:sz w:val="20"/>
                <w:szCs w:val="20"/>
              </w:rPr>
            </w:pPr>
          </w:p>
        </w:tc>
      </w:tr>
      <w:tr w14:paraId="653602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377" w:hRule="atLeast"/>
        </w:trPr>
        <w:tc>
          <w:tcPr>
            <w:vAlign w:val="center"/>
          </w:tcPr>
          <w:p w14:paraId="00000027">
            <w:pPr>
              <w:rPr>
                <w:rFonts w:ascii="Calibri" w:hAnsi="Calibri" w:eastAsia="Calibri" w:cs="Calibri"/>
                <w:color w:val="1F3864"/>
                <w:sz w:val="22"/>
                <w:szCs w:val="22"/>
              </w:rPr>
            </w:pPr>
            <w:r>
              <w:rPr>
                <w:rFonts w:ascii="Calibri" w:hAnsi="Calibri" w:eastAsia="Calibri" w:cs="Calibri"/>
                <w:color w:val="1F3864"/>
                <w:sz w:val="22"/>
                <w:szCs w:val="22"/>
                <w:rtl w:val="0"/>
              </w:rPr>
              <w:t>Evidencias de avance</w:t>
            </w:r>
          </w:p>
        </w:tc>
        <w:tc>
          <w:tcPr>
            <w:vAlign w:val="center"/>
          </w:tcPr>
          <w:p w14:paraId="00000028">
            <w:pPr>
              <w:pStyle w:val="5"/>
              <w:keepNext w:val="0"/>
              <w:keepLines w:val="0"/>
              <w:spacing w:line="335" w:lineRule="auto"/>
              <w:jc w:val="both"/>
              <w:rPr>
                <w:color w:val="1F1F1F"/>
                <w:sz w:val="20"/>
                <w:szCs w:val="20"/>
              </w:rPr>
            </w:pPr>
            <w:bookmarkStart w:id="3" w:name="_heading=h.7zwcca4k9axo" w:colFirst="0" w:colLast="0"/>
            <w:bookmarkEnd w:id="3"/>
            <w:r>
              <w:rPr>
                <w:color w:val="1F1F1F"/>
                <w:sz w:val="20"/>
                <w:szCs w:val="20"/>
                <w:rtl w:val="0"/>
              </w:rPr>
              <w:t>Descripción de las Evidencias Presentadas</w:t>
            </w:r>
          </w:p>
          <w:p w14:paraId="00000029">
            <w:pPr>
              <w:numPr>
                <w:ilvl w:val="0"/>
                <w:numId w:val="5"/>
              </w:numPr>
              <w:spacing w:before="220" w:after="200"/>
              <w:ind w:left="720" w:hanging="360"/>
              <w:rPr>
                <w:rFonts w:ascii="Calibri" w:hAnsi="Calibri" w:eastAsia="Calibri" w:cs="Calibri"/>
                <w:sz w:val="20"/>
                <w:szCs w:val="20"/>
              </w:rPr>
            </w:pPr>
            <w:r>
              <w:rPr>
                <w:b/>
                <w:bCs/>
                <w:color w:val="1F1F1F"/>
                <w:sz w:val="20"/>
                <w:szCs w:val="20"/>
                <w:rtl w:val="0"/>
              </w:rPr>
              <w:t>Documento de Arquitectura de Software (DAS v1.0):</w:t>
            </w:r>
            <w:r>
              <w:rPr>
                <w:color w:val="1F1F1F"/>
                <w:sz w:val="20"/>
                <w:szCs w:val="20"/>
                <w:rtl w:val="0"/>
              </w:rPr>
              <w:t xml:space="preserve"> Documento formal que consolida la arquitectura del sistema bajo el estándar 4+1, especificando los modelos de vistas (lógica, casos de uso, procesos, despliegue y física) y los escenarios de calidad.</w:t>
            </w:r>
          </w:p>
          <w:p w14:paraId="0000002A">
            <w:pPr>
              <w:numPr>
                <w:ilvl w:val="0"/>
                <w:numId w:val="5"/>
              </w:numPr>
              <w:spacing w:before="0" w:after="200"/>
              <w:ind w:left="720" w:hanging="360"/>
              <w:rPr>
                <w:rFonts w:ascii="Calibri" w:hAnsi="Calibri" w:eastAsia="Calibri" w:cs="Calibri"/>
                <w:b/>
                <w:bCs/>
                <w:sz w:val="20"/>
                <w:szCs w:val="20"/>
              </w:rPr>
            </w:pPr>
            <w:r>
              <w:rPr>
                <w:b/>
                <w:bCs/>
                <w:color w:val="1F1F1F"/>
                <w:sz w:val="20"/>
                <w:szCs w:val="20"/>
                <w:rtl w:val="0"/>
              </w:rPr>
              <w:t>Base de Datos y Código Fuente Funcional en Flutter/Supabase:</w:t>
            </w:r>
          </w:p>
          <w:p w14:paraId="0000002B">
            <w:pPr>
              <w:numPr>
                <w:ilvl w:val="0"/>
                <w:numId w:val="6"/>
              </w:numPr>
              <w:spacing w:before="0" w:after="200"/>
              <w:ind w:left="1440" w:hanging="360"/>
              <w:rPr>
                <w:sz w:val="20"/>
                <w:szCs w:val="20"/>
              </w:rPr>
            </w:pPr>
            <w:r>
              <w:rPr>
                <w:color w:val="1F1F1F"/>
                <w:sz w:val="20"/>
                <w:szCs w:val="20"/>
                <w:rtl w:val="0"/>
              </w:rPr>
              <w:t>Código de la aplicación estructurado en módulos ejecutándose en Android.</w:t>
            </w:r>
          </w:p>
          <w:p w14:paraId="0000002C">
            <w:pPr>
              <w:numPr>
                <w:ilvl w:val="0"/>
                <w:numId w:val="6"/>
              </w:numPr>
              <w:spacing w:before="0" w:after="200"/>
              <w:ind w:left="1440" w:hanging="360"/>
              <w:rPr>
                <w:rFonts w:ascii="Calibri" w:hAnsi="Calibri" w:eastAsia="Calibri" w:cs="Calibri"/>
                <w:sz w:val="20"/>
                <w:szCs w:val="20"/>
              </w:rPr>
            </w:pPr>
            <w:r>
              <w:rPr>
                <w:color w:val="1F1F1F"/>
                <w:sz w:val="20"/>
                <w:szCs w:val="20"/>
                <w:rtl w:val="0"/>
              </w:rPr>
              <w:t>Esquema de base de datos relacional en PostgreSQL/Supabase con la extensión geoespacial PostGIS y tablas operativas para usuarios, grifos y movimientos de tesorería.</w:t>
            </w:r>
          </w:p>
          <w:p w14:paraId="0000002D">
            <w:pPr>
              <w:numPr>
                <w:ilvl w:val="0"/>
                <w:numId w:val="7"/>
              </w:numPr>
              <w:spacing w:before="0" w:after="200"/>
              <w:ind w:left="720" w:hanging="360"/>
              <w:rPr>
                <w:rFonts w:ascii="Calibri" w:hAnsi="Calibri" w:eastAsia="Calibri" w:cs="Calibri"/>
                <w:b/>
                <w:bCs/>
                <w:sz w:val="20"/>
                <w:szCs w:val="20"/>
              </w:rPr>
            </w:pPr>
            <w:r>
              <w:rPr>
                <w:b/>
                <w:bCs/>
                <w:color w:val="1F1F1F"/>
                <w:sz w:val="20"/>
                <w:szCs w:val="20"/>
                <w:rtl w:val="0"/>
              </w:rPr>
              <w:t>Evidencia de Pruebas de Seguridad en Backend (RLS en Supabase):</w:t>
            </w:r>
          </w:p>
          <w:p w14:paraId="0000002E">
            <w:pPr>
              <w:numPr>
                <w:ilvl w:val="0"/>
                <w:numId w:val="8"/>
              </w:numPr>
              <w:spacing w:before="0" w:after="200"/>
              <w:ind w:left="1440" w:hanging="360"/>
              <w:rPr>
                <w:sz w:val="20"/>
                <w:szCs w:val="20"/>
              </w:rPr>
            </w:pPr>
            <w:r>
              <w:rPr>
                <w:color w:val="1F1F1F"/>
                <w:sz w:val="20"/>
                <w:szCs w:val="20"/>
                <w:rtl w:val="0"/>
              </w:rPr>
              <w:t>Registros de ejecución donde se valida que al autenticarse un usuario con rol estándar (</w:t>
            </w:r>
            <w:r>
              <w:rPr>
                <w:color w:val="1F1F1F"/>
                <w:sz w:val="20"/>
                <w:szCs w:val="20"/>
                <w:shd w:val="clear" w:fill="F1F3F4"/>
                <w:rtl w:val="0"/>
              </w:rPr>
              <w:t>bombero.prueba@test.cl</w:t>
            </w:r>
            <w:r>
              <w:rPr>
                <w:color w:val="1F1F1F"/>
                <w:sz w:val="20"/>
                <w:szCs w:val="20"/>
                <w:rtl w:val="0"/>
              </w:rPr>
              <w:t xml:space="preserve">), la consulta directa a la tabla </w:t>
            </w:r>
            <w:r>
              <w:rPr>
                <w:color w:val="1F1F1F"/>
                <w:sz w:val="20"/>
                <w:szCs w:val="20"/>
                <w:shd w:val="clear" w:fill="F1F3F4"/>
                <w:rtl w:val="0"/>
              </w:rPr>
              <w:t>movimiento_tesoreria</w:t>
            </w:r>
            <w:r>
              <w:rPr>
                <w:color w:val="1F1F1F"/>
                <w:sz w:val="20"/>
                <w:szCs w:val="20"/>
                <w:rtl w:val="0"/>
              </w:rPr>
              <w:t xml:space="preserve"> retorna una lista vacía (</w:t>
            </w:r>
            <w:r>
              <w:rPr>
                <w:color w:val="1F1F1F"/>
                <w:sz w:val="20"/>
                <w:szCs w:val="20"/>
                <w:shd w:val="clear" w:fill="F1F3F4"/>
                <w:rtl w:val="0"/>
              </w:rPr>
              <w:t>[]</w:t>
            </w:r>
            <w:r>
              <w:rPr>
                <w:color w:val="1F1F1F"/>
                <w:sz w:val="20"/>
                <w:szCs w:val="20"/>
                <w:rtl w:val="0"/>
              </w:rPr>
              <w:t>) por bloqueo silencioso de RLS.</w:t>
            </w:r>
          </w:p>
          <w:p w14:paraId="0000002F">
            <w:pPr>
              <w:numPr>
                <w:ilvl w:val="0"/>
                <w:numId w:val="8"/>
              </w:numPr>
              <w:spacing w:before="0" w:after="200"/>
              <w:ind w:left="1440" w:hanging="360"/>
              <w:rPr>
                <w:sz w:val="20"/>
                <w:szCs w:val="20"/>
              </w:rPr>
            </w:pPr>
            <w:r>
              <w:rPr>
                <w:color w:val="1F1F1F"/>
                <w:sz w:val="20"/>
                <w:szCs w:val="20"/>
                <w:rtl w:val="0"/>
              </w:rPr>
              <w:t xml:space="preserve">Verificación de que al ingresar con el rol </w:t>
            </w:r>
            <w:r>
              <w:rPr>
                <w:color w:val="1F1F1F"/>
                <w:sz w:val="20"/>
                <w:szCs w:val="20"/>
                <w:shd w:val="clear" w:fill="F1F3F4"/>
                <w:rtl w:val="0"/>
              </w:rPr>
              <w:t>tesorero.prueba@test.cl</w:t>
            </w:r>
            <w:r>
              <w:rPr>
                <w:color w:val="1F1F1F"/>
                <w:sz w:val="20"/>
                <w:szCs w:val="20"/>
                <w:rtl w:val="0"/>
              </w:rPr>
              <w:t>, la base de datos autoriza la lectura e inserción de transacciones de tesorería y balances.</w:t>
            </w:r>
          </w:p>
          <w:p w14:paraId="00000030">
            <w:pPr>
              <w:numPr>
                <w:ilvl w:val="0"/>
                <w:numId w:val="9"/>
              </w:numPr>
              <w:spacing w:before="0" w:after="200"/>
              <w:ind w:left="720" w:hanging="360"/>
              <w:rPr>
                <w:rFonts w:ascii="Calibri" w:hAnsi="Calibri" w:eastAsia="Calibri" w:cs="Calibri"/>
                <w:b/>
                <w:bCs/>
                <w:sz w:val="20"/>
                <w:szCs w:val="20"/>
              </w:rPr>
            </w:pPr>
            <w:r>
              <w:rPr>
                <w:b/>
                <w:bCs/>
                <w:color w:val="1F1F1F"/>
                <w:sz w:val="20"/>
                <w:szCs w:val="20"/>
                <w:rtl w:val="0"/>
              </w:rPr>
              <w:t>Product Backlog y Sprint Backlog Actualizado (v4.0):</w:t>
            </w:r>
          </w:p>
          <w:p w14:paraId="00000031">
            <w:pPr>
              <w:numPr>
                <w:ilvl w:val="0"/>
                <w:numId w:val="10"/>
              </w:numPr>
              <w:spacing w:before="0" w:after="200"/>
              <w:ind w:left="1440" w:hanging="360"/>
              <w:rPr>
                <w:rFonts w:ascii="Calibri" w:hAnsi="Calibri" w:eastAsia="Calibri" w:cs="Calibri"/>
                <w:sz w:val="20"/>
                <w:szCs w:val="20"/>
              </w:rPr>
            </w:pPr>
            <w:r>
              <w:rPr>
                <w:color w:val="1F1F1F"/>
                <w:sz w:val="20"/>
                <w:szCs w:val="20"/>
                <w:rtl w:val="0"/>
              </w:rPr>
              <w:t>Matriz consolidada de 13 Historias de Usuario y 5 Tareas Técnicas estimadas en puntos de historia (escala Fibonacci) y clasificadas bajo la metodología MoSCoW por criticidad operativa.</w:t>
            </w:r>
          </w:p>
          <w:p w14:paraId="00000032">
            <w:pPr>
              <w:numPr>
                <w:ilvl w:val="0"/>
                <w:numId w:val="10"/>
              </w:numPr>
              <w:spacing w:before="220" w:after="200"/>
              <w:ind w:left="1440" w:hanging="360"/>
              <w:rPr>
                <w:rFonts w:ascii="Calibri" w:hAnsi="Calibri" w:eastAsia="Calibri" w:cs="Calibri"/>
                <w:sz w:val="20"/>
                <w:szCs w:val="20"/>
              </w:rPr>
            </w:pPr>
            <w:r>
              <w:rPr>
                <w:color w:val="1F1F1F"/>
                <w:sz w:val="20"/>
                <w:szCs w:val="20"/>
                <w:rtl w:val="0"/>
              </w:rPr>
              <w:t>Tablas detalladas de Burndown Chart por Sprint que acreditan el cumplimiento del 100% de las horas comprometidas en cada iteración.</w:t>
            </w:r>
          </w:p>
          <w:p w14:paraId="00000033">
            <w:pPr>
              <w:spacing w:after="200" w:line="360" w:lineRule="auto"/>
              <w:jc w:val="both"/>
              <w:rPr>
                <w:color w:val="1F1F1F"/>
                <w:sz w:val="20"/>
                <w:szCs w:val="20"/>
              </w:rPr>
            </w:pPr>
            <w:r>
              <w:rPr>
                <w:sz w:val="22"/>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4">
            <w:pPr>
              <w:pStyle w:val="5"/>
              <w:keepNext w:val="0"/>
              <w:keepLines w:val="0"/>
              <w:spacing w:after="200" w:line="335" w:lineRule="auto"/>
              <w:jc w:val="both"/>
              <w:rPr>
                <w:color w:val="1F1F1F"/>
                <w:sz w:val="20"/>
                <w:szCs w:val="20"/>
              </w:rPr>
            </w:pPr>
            <w:bookmarkStart w:id="4" w:name="_heading=h.jj2axoj88ih1" w:colFirst="0" w:colLast="0"/>
            <w:bookmarkEnd w:id="4"/>
            <w:r>
              <w:rPr>
                <w:color w:val="1F1F1F"/>
                <w:sz w:val="20"/>
                <w:szCs w:val="20"/>
                <w:rtl w:val="0"/>
              </w:rPr>
              <w:t>Justificación y Resguardo de la Calidad Disciplinar</w:t>
            </w:r>
          </w:p>
          <w:p w14:paraId="00000035">
            <w:pPr>
              <w:spacing w:after="0" w:line="360" w:lineRule="auto"/>
              <w:jc w:val="both"/>
              <w:rPr>
                <w:color w:val="1F1F1F"/>
                <w:sz w:val="20"/>
                <w:szCs w:val="20"/>
              </w:rPr>
            </w:pPr>
            <w:r>
              <w:rPr>
                <w:color w:val="1F1F1F"/>
                <w:sz w:val="20"/>
                <w:szCs w:val="20"/>
                <w:rtl w:val="0"/>
              </w:rPr>
              <w:t>El desarrollo del proyecto resguarda la calidad del software mediante los siguientes criterios ingenieriles:</w:t>
            </w:r>
          </w:p>
          <w:p w14:paraId="00000036">
            <w:pPr>
              <w:numPr>
                <w:ilvl w:val="0"/>
                <w:numId w:val="11"/>
              </w:numPr>
              <w:spacing w:before="220" w:after="200"/>
              <w:ind w:left="720" w:hanging="360"/>
              <w:rPr>
                <w:rFonts w:ascii="Calibri" w:hAnsi="Calibri" w:eastAsia="Calibri" w:cs="Calibri"/>
                <w:sz w:val="20"/>
                <w:szCs w:val="20"/>
              </w:rPr>
            </w:pPr>
            <w:r>
              <w:rPr>
                <w:b/>
                <w:bCs/>
                <w:color w:val="1F1F1F"/>
                <w:sz w:val="20"/>
                <w:szCs w:val="20"/>
                <w:rtl w:val="0"/>
              </w:rPr>
              <w:t>Arquitectura de Seguridad "Security by Design":</w:t>
            </w:r>
            <w:r>
              <w:rPr>
                <w:color w:val="1F1F1F"/>
                <w:sz w:val="20"/>
                <w:szCs w:val="20"/>
                <w:rtl w:val="0"/>
              </w:rPr>
              <w:t xml:space="preserve"> En lugar de confiar el control de acceso únicamente a la interfaz de usuario en Flutter, la seguridad se implementó en la capa más profunda del sistema mediante Row Level Security (RLS) a nivel de PostgreSQL. Esto garantiza que, incluso si se intentan manipular las peticiones a la API REST de Supabase, la base de datos deniega el acceso no autorizado en un 100%.</w:t>
            </w:r>
          </w:p>
          <w:p w14:paraId="00000037">
            <w:pPr>
              <w:numPr>
                <w:ilvl w:val="0"/>
                <w:numId w:val="11"/>
              </w:numPr>
              <w:spacing w:before="0" w:after="200"/>
              <w:ind w:left="720" w:hanging="360"/>
              <w:rPr>
                <w:rFonts w:ascii="Calibri" w:hAnsi="Calibri" w:eastAsia="Calibri" w:cs="Calibri"/>
                <w:sz w:val="20"/>
                <w:szCs w:val="20"/>
              </w:rPr>
            </w:pPr>
            <w:r>
              <w:rPr>
                <w:b/>
                <w:bCs/>
                <w:color w:val="1F1F1F"/>
                <w:sz w:val="20"/>
                <w:szCs w:val="20"/>
                <w:rtl w:val="0"/>
              </w:rPr>
              <w:t>Modelado Geoespacial Eficiente:</w:t>
            </w:r>
            <w:r>
              <w:rPr>
                <w:color w:val="1F1F1F"/>
                <w:sz w:val="20"/>
                <w:szCs w:val="20"/>
                <w:rtl w:val="0"/>
              </w:rPr>
              <w:t xml:space="preserve"> Se seleccionó PostgreSQL con extensión PostGIS en lugar de bases NoSQL (como Firebase) para realizar cálculos de proximidad de grifos de forma nativa en el motor de base de datos, asegurando tiempos de respuesta de pocos segundos en situaciones de emergencia.</w:t>
            </w:r>
          </w:p>
          <w:p w14:paraId="00000038">
            <w:pPr>
              <w:numPr>
                <w:ilvl w:val="0"/>
                <w:numId w:val="11"/>
              </w:numPr>
              <w:spacing w:before="0" w:after="200"/>
              <w:ind w:left="720" w:hanging="360"/>
              <w:rPr>
                <w:rFonts w:ascii="Calibri" w:hAnsi="Calibri" w:eastAsia="Calibri" w:cs="Calibri"/>
                <w:sz w:val="20"/>
                <w:szCs w:val="20"/>
              </w:rPr>
            </w:pPr>
            <w:r>
              <w:rPr>
                <w:b/>
                <w:bCs/>
                <w:color w:val="1F1F1F"/>
                <w:sz w:val="20"/>
                <w:szCs w:val="20"/>
                <w:rtl w:val="0"/>
              </w:rPr>
              <w:t xml:space="preserve">Trazabilidad y Calidad en Ingeniería de Requisitos: </w:t>
            </w:r>
            <w:r>
              <w:rPr>
                <w:color w:val="1F1F1F"/>
                <w:sz w:val="20"/>
                <w:szCs w:val="20"/>
                <w:rtl w:val="0"/>
              </w:rPr>
              <w:t>Aplicación del marco de vistas 4+1 en el DAS para validar la coherencia entre las historias de usuario, los diagramas de secuencia/procesos y la estructura de los componentes.</w:t>
            </w:r>
          </w:p>
          <w:p w14:paraId="00000039">
            <w:pPr>
              <w:numPr>
                <w:ilvl w:val="0"/>
                <w:numId w:val="11"/>
              </w:numPr>
              <w:spacing w:before="220" w:after="200"/>
              <w:ind w:left="720" w:hanging="360"/>
              <w:rPr>
                <w:rFonts w:ascii="Calibri" w:hAnsi="Calibri" w:eastAsia="Calibri" w:cs="Calibri"/>
                <w:sz w:val="20"/>
                <w:szCs w:val="20"/>
              </w:rPr>
            </w:pPr>
            <w:r>
              <w:rPr>
                <w:b/>
                <w:bCs/>
                <w:color w:val="1F1F1F"/>
                <w:sz w:val="20"/>
                <w:szCs w:val="20"/>
                <w:rtl w:val="0"/>
              </w:rPr>
              <w:t>Control Riguroso de la Metodología Ágil:</w:t>
            </w:r>
            <w:r>
              <w:rPr>
                <w:color w:val="1F1F1F"/>
                <w:sz w:val="20"/>
                <w:szCs w:val="20"/>
                <w:rtl w:val="0"/>
              </w:rPr>
              <w:t xml:space="preserve"> Estimación relativa mediante la serie de Fibonacci, priorización que se adapta al valor operativo de bomberos  y justificación formal de cualquier cambio o desestimación de alcance para mantener la línea base del proyecto.</w:t>
            </w:r>
          </w:p>
          <w:p w14:paraId="0000003A">
            <w:pPr>
              <w:jc w:val="both"/>
              <w:rPr>
                <w:i/>
                <w:iCs/>
                <w:color w:val="548DD4"/>
                <w:sz w:val="20"/>
                <w:szCs w:val="20"/>
              </w:rPr>
            </w:pPr>
          </w:p>
        </w:tc>
      </w:tr>
      <w:tr w14:paraId="0EF1AE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40" w:hRule="atLeast"/>
        </w:trPr>
        <w:tc>
          <w:tcPr>
            <w:gridSpan w:val="2"/>
            <w:vAlign w:val="center"/>
          </w:tcPr>
          <w:p w14:paraId="0000003B">
            <w:pPr>
              <w:rPr>
                <w:b/>
                <w:bCs/>
                <w:color w:val="1F3864"/>
                <w:sz w:val="28"/>
                <w:szCs w:val="28"/>
              </w:rPr>
            </w:pPr>
            <w:r>
              <w:rPr>
                <w:b/>
                <w:bCs/>
                <w:color w:val="1F3864"/>
                <w:sz w:val="28"/>
                <w:szCs w:val="28"/>
                <w:rtl w:val="0"/>
              </w:rPr>
              <w:t xml:space="preserve">2. Monitoreo del Plan de Trabajo </w:t>
            </w:r>
          </w:p>
        </w:tc>
      </w:tr>
      <w:tr w14:paraId="5D272D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800" w:hRule="atLeast"/>
        </w:trPr>
        <w:tc>
          <w:tcPr>
            <w:gridSpan w:val="2"/>
            <w:shd w:val="clear" w:color="auto" w:fill="D9E2F3"/>
            <w:vAlign w:val="center"/>
          </w:tcPr>
          <w:p w14:paraId="0000003C">
            <w:pPr>
              <w:jc w:val="both"/>
              <w:rPr>
                <w:rFonts w:ascii="Calibri" w:hAnsi="Calibri" w:eastAsia="Calibri" w:cs="Calibri"/>
                <w:color w:val="1F3864"/>
                <w:sz w:val="22"/>
                <w:szCs w:val="22"/>
              </w:rPr>
            </w:pPr>
            <w:r>
              <w:rPr>
                <w:rFonts w:ascii="Calibri" w:hAnsi="Calibri" w:eastAsia="Calibri" w:cs="Calibri"/>
                <w:color w:val="1F3864"/>
                <w:sz w:val="22"/>
                <w:szCs w:val="22"/>
                <w:rtl w:val="0"/>
              </w:rPr>
              <w:t>Examina cuidadosamente tu plan de trabajo, enfocándote especialmente en la columna de estado de avance y ajustes.</w:t>
            </w:r>
          </w:p>
        </w:tc>
      </w:tr>
    </w:tbl>
    <w:p w14:paraId="0000003D">
      <w:pPr>
        <w:spacing w:after="0" w:line="240" w:lineRule="auto"/>
        <w:rPr>
          <w:color w:val="595959"/>
          <w:sz w:val="24"/>
          <w:szCs w:val="24"/>
        </w:rPr>
      </w:pPr>
    </w:p>
    <w:tbl>
      <w:tblPr>
        <w:tblStyle w:val="32"/>
        <w:tblW w:w="9776" w:type="dxa"/>
        <w:tblInd w:w="-636"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50"/>
        <w:gridCol w:w="1600"/>
        <w:gridCol w:w="1150"/>
        <w:gridCol w:w="850"/>
        <w:gridCol w:w="1000"/>
        <w:gridCol w:w="1400"/>
        <w:gridCol w:w="1100"/>
        <w:gridCol w:w="1226"/>
      </w:tblGrid>
      <w:tr w14:paraId="018DA8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15" w:hRule="atLeast"/>
        </w:trPr>
        <w:tc>
          <w:tcPr>
            <w:gridSpan w:val="8"/>
            <w:vAlign w:val="center"/>
          </w:tcPr>
          <w:p w14:paraId="0000003E">
            <w:pPr>
              <w:jc w:val="center"/>
              <w:rPr>
                <w:rFonts w:ascii="Calibri" w:hAnsi="Calibri" w:eastAsia="Calibri" w:cs="Calibri"/>
                <w:color w:val="1F3864"/>
                <w:sz w:val="18"/>
                <w:szCs w:val="18"/>
              </w:rPr>
            </w:pPr>
            <w:r>
              <w:rPr>
                <w:rFonts w:ascii="Calibri" w:hAnsi="Calibri" w:eastAsia="Calibri" w:cs="Calibri"/>
                <w:color w:val="1F3864"/>
                <w:sz w:val="18"/>
                <w:szCs w:val="18"/>
                <w:rtl w:val="0"/>
              </w:rPr>
              <w:t>Plan de Trabajo</w:t>
            </w:r>
          </w:p>
        </w:tc>
      </w:tr>
      <w:tr w14:paraId="00D9BB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711" w:hRule="atLeast"/>
        </w:trPr>
        <w:tc>
          <w:tcPr>
            <w:vAlign w:val="center"/>
          </w:tcPr>
          <w:p w14:paraId="00000046">
            <w:pPr>
              <w:jc w:val="center"/>
              <w:rPr>
                <w:rFonts w:ascii="Calibri" w:hAnsi="Calibri" w:eastAsia="Calibri" w:cs="Calibri"/>
                <w:color w:val="1F3864"/>
                <w:sz w:val="18"/>
                <w:szCs w:val="18"/>
              </w:rPr>
            </w:pPr>
            <w:r>
              <w:rPr>
                <w:rFonts w:ascii="Calibri" w:hAnsi="Calibri" w:eastAsia="Calibri" w:cs="Calibri"/>
                <w:color w:val="1F3864"/>
                <w:sz w:val="18"/>
                <w:szCs w:val="18"/>
                <w:rtl w:val="0"/>
              </w:rPr>
              <w:t>Competencia o unidades de competencias</w:t>
            </w:r>
          </w:p>
        </w:tc>
        <w:tc>
          <w:tcPr>
            <w:vAlign w:val="center"/>
          </w:tcPr>
          <w:p w14:paraId="00000047">
            <w:pPr>
              <w:jc w:val="center"/>
              <w:rPr>
                <w:rFonts w:ascii="Calibri" w:hAnsi="Calibri" w:eastAsia="Calibri" w:cs="Calibri"/>
                <w:color w:val="1F3864"/>
                <w:sz w:val="18"/>
                <w:szCs w:val="18"/>
              </w:rPr>
            </w:pPr>
            <w:r>
              <w:rPr>
                <w:rFonts w:ascii="Calibri" w:hAnsi="Calibri" w:eastAsia="Calibri" w:cs="Calibri"/>
                <w:color w:val="1F3864"/>
                <w:sz w:val="18"/>
                <w:szCs w:val="18"/>
                <w:rtl w:val="0"/>
              </w:rPr>
              <w:t>Actividades</w:t>
            </w:r>
          </w:p>
        </w:tc>
        <w:tc>
          <w:tcPr>
            <w:vAlign w:val="center"/>
          </w:tcPr>
          <w:p w14:paraId="00000048">
            <w:pPr>
              <w:jc w:val="center"/>
              <w:rPr>
                <w:rFonts w:ascii="Calibri" w:hAnsi="Calibri" w:eastAsia="Calibri" w:cs="Calibri"/>
                <w:color w:val="1F3864"/>
                <w:sz w:val="18"/>
                <w:szCs w:val="18"/>
              </w:rPr>
            </w:pPr>
            <w:r>
              <w:rPr>
                <w:rFonts w:ascii="Calibri" w:hAnsi="Calibri" w:eastAsia="Calibri" w:cs="Calibri"/>
                <w:color w:val="1F3864"/>
                <w:sz w:val="18"/>
                <w:szCs w:val="18"/>
                <w:rtl w:val="0"/>
              </w:rPr>
              <w:t>Recursos</w:t>
            </w:r>
          </w:p>
        </w:tc>
        <w:tc>
          <w:tcPr>
            <w:vAlign w:val="center"/>
          </w:tcPr>
          <w:p w14:paraId="00000049">
            <w:pPr>
              <w:jc w:val="center"/>
              <w:rPr>
                <w:rFonts w:ascii="Calibri" w:hAnsi="Calibri" w:eastAsia="Calibri" w:cs="Calibri"/>
                <w:color w:val="1F3864"/>
                <w:sz w:val="18"/>
                <w:szCs w:val="18"/>
              </w:rPr>
            </w:pPr>
            <w:r>
              <w:rPr>
                <w:rFonts w:ascii="Calibri" w:hAnsi="Calibri" w:eastAsia="Calibri" w:cs="Calibri"/>
                <w:color w:val="1F3864"/>
                <w:sz w:val="18"/>
                <w:szCs w:val="18"/>
                <w:rtl w:val="0"/>
              </w:rPr>
              <w:t>Duración de la actividad</w:t>
            </w:r>
          </w:p>
        </w:tc>
        <w:tc>
          <w:tcPr>
            <w:vAlign w:val="center"/>
          </w:tcPr>
          <w:p w14:paraId="0000004A">
            <w:pPr>
              <w:jc w:val="center"/>
              <w:rPr>
                <w:rFonts w:ascii="Calibri" w:hAnsi="Calibri" w:eastAsia="Calibri" w:cs="Calibri"/>
                <w:color w:val="1F3864"/>
                <w:sz w:val="18"/>
                <w:szCs w:val="18"/>
              </w:rPr>
            </w:pPr>
            <w:r>
              <w:rPr>
                <w:rFonts w:ascii="Calibri" w:hAnsi="Calibri" w:eastAsia="Calibri" w:cs="Calibri"/>
                <w:color w:val="1F3864"/>
                <w:sz w:val="18"/>
                <w:szCs w:val="18"/>
                <w:rtl w:val="0"/>
              </w:rPr>
              <w:t>Responsable</w:t>
            </w:r>
            <w:r>
              <w:rPr>
                <w:rFonts w:ascii="Calibri" w:hAnsi="Calibri" w:eastAsia="Calibri" w:cs="Calibri"/>
                <w:color w:val="1F3864"/>
                <w:sz w:val="18"/>
                <w:szCs w:val="18"/>
                <w:vertAlign w:val="superscript"/>
              </w:rPr>
              <w:footnoteReference w:id="0"/>
            </w:r>
          </w:p>
        </w:tc>
        <w:tc>
          <w:tcPr>
            <w:vAlign w:val="center"/>
          </w:tcPr>
          <w:p w14:paraId="0000004B">
            <w:pPr>
              <w:jc w:val="center"/>
              <w:rPr>
                <w:rFonts w:ascii="Calibri" w:hAnsi="Calibri" w:eastAsia="Calibri" w:cs="Calibri"/>
                <w:color w:val="1F3864"/>
                <w:sz w:val="18"/>
                <w:szCs w:val="18"/>
              </w:rPr>
            </w:pPr>
            <w:r>
              <w:rPr>
                <w:rFonts w:ascii="Calibri" w:hAnsi="Calibri" w:eastAsia="Calibri" w:cs="Calibri"/>
                <w:color w:val="1F3864"/>
                <w:sz w:val="18"/>
                <w:szCs w:val="18"/>
                <w:rtl w:val="0"/>
              </w:rPr>
              <w:t>Observaciones</w:t>
            </w:r>
          </w:p>
        </w:tc>
        <w:tc>
          <w:tcPr>
            <w:tcW w:w="1100" w:type="dxa"/>
            <w:vAlign w:val="center"/>
          </w:tcPr>
          <w:p w14:paraId="0000004C">
            <w:pPr>
              <w:jc w:val="center"/>
              <w:rPr>
                <w:rFonts w:ascii="Calibri" w:hAnsi="Calibri" w:eastAsia="Calibri" w:cs="Calibri"/>
                <w:color w:val="1F3864"/>
                <w:sz w:val="18"/>
                <w:szCs w:val="18"/>
              </w:rPr>
            </w:pPr>
            <w:r>
              <w:rPr>
                <w:rFonts w:ascii="Calibri" w:hAnsi="Calibri" w:eastAsia="Calibri" w:cs="Calibri"/>
                <w:color w:val="1F3864"/>
                <w:sz w:val="18"/>
                <w:szCs w:val="18"/>
                <w:rtl w:val="0"/>
              </w:rPr>
              <w:t>Estado de avance</w:t>
            </w:r>
          </w:p>
        </w:tc>
        <w:tc>
          <w:tcPr>
            <w:tcW w:w="1226" w:type="dxa"/>
            <w:vAlign w:val="center"/>
          </w:tcPr>
          <w:p w14:paraId="0000004D">
            <w:pPr>
              <w:jc w:val="center"/>
              <w:rPr>
                <w:rFonts w:ascii="Calibri" w:hAnsi="Calibri" w:eastAsia="Calibri" w:cs="Calibri"/>
                <w:color w:val="1F3864"/>
                <w:sz w:val="18"/>
                <w:szCs w:val="18"/>
              </w:rPr>
            </w:pPr>
            <w:r>
              <w:rPr>
                <w:rFonts w:ascii="Calibri" w:hAnsi="Calibri" w:eastAsia="Calibri" w:cs="Calibri"/>
                <w:color w:val="1F3864"/>
                <w:sz w:val="18"/>
                <w:szCs w:val="18"/>
                <w:rtl w:val="0"/>
              </w:rPr>
              <w:t>Ajustes</w:t>
            </w:r>
          </w:p>
        </w:tc>
      </w:tr>
      <w:tr w14:paraId="03BDF7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68B887B7">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4E3C4871">
            <w:pPr>
              <w:spacing w:before="40" w:after="40"/>
              <w:jc w:val="left"/>
              <w:rPr>
                <w:sz w:val="22"/>
                <w:szCs w:val="22"/>
              </w:rPr>
            </w:pPr>
            <w:r>
              <w:rPr>
                <w:rFonts w:ascii="Calibri" w:hAnsi="Calibri" w:eastAsia="Calibri" w:cs="Calibri"/>
                <w:color w:val="1F1F1F"/>
                <w:sz w:val="16"/>
                <w:szCs w:val="16"/>
              </w:rPr>
              <w:t>1. Descripción y justificación: redacción de la justificación técnica y operativa del proyecto.</w:t>
            </w:r>
          </w:p>
        </w:tc>
        <w:tc>
          <w:tcPr>
            <w:tcW w:w="1150" w:type="dxa"/>
            <w:vAlign w:val="top"/>
          </w:tcPr>
          <w:p w14:paraId="3B68108B">
            <w:pPr>
              <w:spacing w:before="40" w:after="40"/>
              <w:jc w:val="left"/>
              <w:rPr>
                <w:sz w:val="22"/>
                <w:szCs w:val="22"/>
              </w:rPr>
            </w:pPr>
            <w:r>
              <w:rPr>
                <w:rFonts w:ascii="Calibri" w:hAnsi="Calibri" w:eastAsia="Calibri" w:cs="Calibri"/>
                <w:color w:val="1F1F1F"/>
                <w:sz w:val="16"/>
                <w:szCs w:val="16"/>
              </w:rPr>
              <w:t>Documentos institucionales, Microsoft Word.</w:t>
            </w:r>
          </w:p>
        </w:tc>
        <w:tc>
          <w:tcPr>
            <w:tcW w:w="850" w:type="dxa"/>
            <w:vAlign w:val="top"/>
          </w:tcPr>
          <w:p w14:paraId="0FEFFD87">
            <w:pPr>
              <w:spacing w:before="40" w:after="40"/>
              <w:jc w:val="left"/>
              <w:rPr>
                <w:sz w:val="22"/>
                <w:szCs w:val="22"/>
              </w:rPr>
            </w:pPr>
            <w:r>
              <w:rPr>
                <w:rFonts w:ascii="Calibri" w:hAnsi="Calibri" w:eastAsia="Calibri" w:cs="Calibri"/>
                <w:color w:val="1F1F1F"/>
                <w:sz w:val="16"/>
                <w:szCs w:val="16"/>
              </w:rPr>
              <w:t>Semana 1 a 3</w:t>
            </w:r>
          </w:p>
        </w:tc>
        <w:tc>
          <w:tcPr>
            <w:tcW w:w="1000" w:type="dxa"/>
            <w:vAlign w:val="top"/>
          </w:tcPr>
          <w:p w14:paraId="78D2BB1F">
            <w:pPr>
              <w:spacing w:before="40" w:after="40"/>
              <w:jc w:val="left"/>
              <w:rPr>
                <w:sz w:val="22"/>
                <w:szCs w:val="22"/>
              </w:rPr>
            </w:pPr>
            <w:r>
              <w:rPr>
                <w:rFonts w:ascii="Calibri" w:hAnsi="Calibri" w:eastAsia="Calibri" w:cs="Calibri"/>
                <w:color w:val="1F1F1F"/>
                <w:sz w:val="16"/>
                <w:szCs w:val="16"/>
              </w:rPr>
              <w:t>Felipe Caro (Nicolás Núñez, Marco Antilef)</w:t>
            </w:r>
          </w:p>
        </w:tc>
        <w:tc>
          <w:tcPr>
            <w:tcW w:w="1400" w:type="dxa"/>
            <w:vAlign w:val="top"/>
          </w:tcPr>
          <w:p w14:paraId="1D7CD656">
            <w:pPr>
              <w:spacing w:before="40" w:after="40"/>
              <w:jc w:val="left"/>
              <w:rPr>
                <w:sz w:val="22"/>
                <w:szCs w:val="22"/>
              </w:rPr>
            </w:pPr>
            <w:r>
              <w:rPr>
                <w:rFonts w:ascii="Calibri" w:hAnsi="Calibri" w:eastAsia="Calibri" w:cs="Calibri"/>
                <w:color w:val="1F1F1F"/>
                <w:sz w:val="16"/>
                <w:szCs w:val="16"/>
              </w:rPr>
              <w:t>Trabajo conjunto; Felipe consolida el documento como representante.</w:t>
            </w:r>
          </w:p>
        </w:tc>
        <w:tc>
          <w:tcPr>
            <w:tcW w:w="1100" w:type="dxa"/>
            <w:vAlign w:val="top"/>
          </w:tcPr>
          <w:p w14:paraId="6D1A13AF">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7BBD53B0">
            <w:pPr>
              <w:spacing w:before="40" w:after="40"/>
              <w:jc w:val="left"/>
              <w:rPr>
                <w:sz w:val="22"/>
                <w:szCs w:val="22"/>
              </w:rPr>
            </w:pPr>
            <w:r>
              <w:rPr>
                <w:rFonts w:ascii="Calibri" w:hAnsi="Calibri" w:eastAsia="Calibri" w:cs="Calibri"/>
                <w:color w:val="1F1F1F"/>
                <w:sz w:val="16"/>
                <w:szCs w:val="16"/>
              </w:rPr>
              <w:t>Sin ajustes.</w:t>
            </w:r>
          </w:p>
        </w:tc>
      </w:tr>
      <w:tr w14:paraId="667575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3B714782">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728D36DA">
            <w:pPr>
              <w:spacing w:before="40" w:after="40"/>
              <w:jc w:val="left"/>
              <w:rPr>
                <w:sz w:val="22"/>
                <w:szCs w:val="22"/>
              </w:rPr>
            </w:pPr>
            <w:r>
              <w:rPr>
                <w:rFonts w:ascii="Calibri" w:hAnsi="Calibri" w:eastAsia="Calibri" w:cs="Calibri"/>
                <w:color w:val="1F1F1F"/>
                <w:sz w:val="16"/>
                <w:szCs w:val="16"/>
              </w:rPr>
              <w:t>2. Definición de objetivos: objetivo general y 4 específicos del sistema.</w:t>
            </w:r>
          </w:p>
        </w:tc>
        <w:tc>
          <w:tcPr>
            <w:tcW w:w="1150" w:type="dxa"/>
            <w:vAlign w:val="top"/>
          </w:tcPr>
          <w:p w14:paraId="1245C280">
            <w:pPr>
              <w:spacing w:before="40" w:after="40"/>
              <w:jc w:val="left"/>
              <w:rPr>
                <w:sz w:val="22"/>
                <w:szCs w:val="22"/>
              </w:rPr>
            </w:pPr>
            <w:r>
              <w:rPr>
                <w:rFonts w:ascii="Calibri" w:hAnsi="Calibri" w:eastAsia="Calibri" w:cs="Calibri"/>
                <w:color w:val="1F1F1F"/>
                <w:sz w:val="16"/>
                <w:szCs w:val="16"/>
              </w:rPr>
              <w:t>Documentos institucionales, Microsoft Word.</w:t>
            </w:r>
          </w:p>
        </w:tc>
        <w:tc>
          <w:tcPr>
            <w:tcW w:w="850" w:type="dxa"/>
            <w:vAlign w:val="top"/>
          </w:tcPr>
          <w:p w14:paraId="658E0E95">
            <w:pPr>
              <w:spacing w:before="40" w:after="40"/>
              <w:jc w:val="left"/>
              <w:rPr>
                <w:sz w:val="22"/>
                <w:szCs w:val="22"/>
              </w:rPr>
            </w:pPr>
            <w:r>
              <w:rPr>
                <w:rFonts w:ascii="Calibri" w:hAnsi="Calibri" w:eastAsia="Calibri" w:cs="Calibri"/>
                <w:color w:val="1F1F1F"/>
                <w:sz w:val="16"/>
                <w:szCs w:val="16"/>
              </w:rPr>
              <w:t>Semana 1 a 3</w:t>
            </w:r>
          </w:p>
        </w:tc>
        <w:tc>
          <w:tcPr>
            <w:tcW w:w="1000" w:type="dxa"/>
            <w:vAlign w:val="top"/>
          </w:tcPr>
          <w:p w14:paraId="6D95426F">
            <w:pPr>
              <w:spacing w:before="40" w:after="40"/>
              <w:jc w:val="left"/>
              <w:rPr>
                <w:sz w:val="22"/>
                <w:szCs w:val="22"/>
              </w:rPr>
            </w:pPr>
            <w:r>
              <w:rPr>
                <w:rFonts w:ascii="Calibri" w:hAnsi="Calibri" w:eastAsia="Calibri" w:cs="Calibri"/>
                <w:color w:val="1F1F1F"/>
                <w:sz w:val="16"/>
                <w:szCs w:val="16"/>
              </w:rPr>
              <w:t>Nicolás Núñez (Felipe Caro, Marco Antilef)</w:t>
            </w:r>
          </w:p>
        </w:tc>
        <w:tc>
          <w:tcPr>
            <w:tcW w:w="1400" w:type="dxa"/>
            <w:vAlign w:val="top"/>
          </w:tcPr>
          <w:p w14:paraId="06EBBDF1">
            <w:pPr>
              <w:spacing w:before="40" w:after="40"/>
              <w:jc w:val="left"/>
              <w:rPr>
                <w:sz w:val="22"/>
                <w:szCs w:val="22"/>
              </w:rPr>
            </w:pPr>
            <w:r>
              <w:rPr>
                <w:rFonts w:ascii="Calibri" w:hAnsi="Calibri" w:eastAsia="Calibri" w:cs="Calibri"/>
                <w:color w:val="1F1F1F"/>
                <w:sz w:val="16"/>
                <w:szCs w:val="16"/>
              </w:rPr>
              <w:t>Quedaba pendiente la validación final con el equipo.</w:t>
            </w:r>
          </w:p>
        </w:tc>
        <w:tc>
          <w:tcPr>
            <w:tcW w:w="1100" w:type="dxa"/>
            <w:vAlign w:val="top"/>
          </w:tcPr>
          <w:p w14:paraId="07AF6449">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1E2FE022">
            <w:pPr>
              <w:spacing w:before="40" w:after="40"/>
              <w:jc w:val="left"/>
              <w:rPr>
                <w:sz w:val="22"/>
                <w:szCs w:val="22"/>
              </w:rPr>
            </w:pPr>
            <w:r>
              <w:rPr>
                <w:rFonts w:ascii="Calibri" w:hAnsi="Calibri" w:eastAsia="Calibri" w:cs="Calibri"/>
                <w:color w:val="1F1F1F"/>
                <w:sz w:val="16"/>
                <w:szCs w:val="16"/>
              </w:rPr>
              <w:t>Sin ajustes.</w:t>
            </w:r>
          </w:p>
        </w:tc>
      </w:tr>
      <w:tr w14:paraId="39B91F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61923EAA">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45FDBDF9">
            <w:pPr>
              <w:spacing w:before="40" w:after="40"/>
              <w:jc w:val="left"/>
              <w:rPr>
                <w:sz w:val="22"/>
                <w:szCs w:val="22"/>
              </w:rPr>
            </w:pPr>
            <w:r>
              <w:rPr>
                <w:rFonts w:ascii="Calibri" w:hAnsi="Calibri" w:eastAsia="Calibri" w:cs="Calibri"/>
                <w:color w:val="1F1F1F"/>
                <w:sz w:val="16"/>
                <w:szCs w:val="16"/>
              </w:rPr>
              <w:t>3. Definición de alcance y cierre: delimitación de lo que incluye y no incluye el proyecto; cierre de la Fase 1.</w:t>
            </w:r>
          </w:p>
        </w:tc>
        <w:tc>
          <w:tcPr>
            <w:tcW w:w="1150" w:type="dxa"/>
            <w:vAlign w:val="top"/>
          </w:tcPr>
          <w:p w14:paraId="6CD3AEDA">
            <w:pPr>
              <w:spacing w:before="40" w:after="40"/>
              <w:jc w:val="left"/>
              <w:rPr>
                <w:sz w:val="22"/>
                <w:szCs w:val="22"/>
              </w:rPr>
            </w:pPr>
            <w:r>
              <w:rPr>
                <w:rFonts w:ascii="Calibri" w:hAnsi="Calibri" w:eastAsia="Calibri" w:cs="Calibri"/>
                <w:color w:val="1F1F1F"/>
                <w:sz w:val="16"/>
                <w:szCs w:val="16"/>
              </w:rPr>
              <w:t>Documentos institucionales, Microsoft Word.</w:t>
            </w:r>
          </w:p>
        </w:tc>
        <w:tc>
          <w:tcPr>
            <w:tcW w:w="850" w:type="dxa"/>
            <w:vAlign w:val="top"/>
          </w:tcPr>
          <w:p w14:paraId="57A3A479">
            <w:pPr>
              <w:spacing w:before="40" w:after="40"/>
              <w:jc w:val="left"/>
              <w:rPr>
                <w:sz w:val="22"/>
                <w:szCs w:val="22"/>
              </w:rPr>
            </w:pPr>
            <w:r>
              <w:rPr>
                <w:rFonts w:ascii="Calibri" w:hAnsi="Calibri" w:eastAsia="Calibri" w:cs="Calibri"/>
                <w:color w:val="1F1F1F"/>
                <w:sz w:val="16"/>
                <w:szCs w:val="16"/>
              </w:rPr>
              <w:t>Semana 1 a 3</w:t>
            </w:r>
          </w:p>
        </w:tc>
        <w:tc>
          <w:tcPr>
            <w:tcW w:w="1000" w:type="dxa"/>
            <w:vAlign w:val="top"/>
          </w:tcPr>
          <w:p w14:paraId="636738CF">
            <w:pPr>
              <w:spacing w:before="40" w:after="40"/>
              <w:jc w:val="left"/>
              <w:rPr>
                <w:sz w:val="22"/>
                <w:szCs w:val="22"/>
              </w:rPr>
            </w:pPr>
            <w:r>
              <w:rPr>
                <w:rFonts w:ascii="Calibri" w:hAnsi="Calibri" w:eastAsia="Calibri" w:cs="Calibri"/>
                <w:color w:val="1F1F1F"/>
                <w:sz w:val="16"/>
                <w:szCs w:val="16"/>
              </w:rPr>
              <w:t>Marco Antilef (Felipe Caro, Nicolás Núñez)</w:t>
            </w:r>
          </w:p>
        </w:tc>
        <w:tc>
          <w:tcPr>
            <w:tcW w:w="1400" w:type="dxa"/>
            <w:vAlign w:val="top"/>
          </w:tcPr>
          <w:p w14:paraId="4B1B0CFC">
            <w:pPr>
              <w:spacing w:before="40" w:after="40"/>
              <w:jc w:val="left"/>
              <w:rPr>
                <w:sz w:val="22"/>
                <w:szCs w:val="22"/>
              </w:rPr>
            </w:pPr>
            <w:r>
              <w:rPr>
                <w:rFonts w:ascii="Calibri" w:hAnsi="Calibri" w:eastAsia="Calibri" w:cs="Calibri"/>
                <w:color w:val="1F1F1F"/>
                <w:sz w:val="16"/>
                <w:szCs w:val="16"/>
              </w:rPr>
              <w:t>Marcó el fin de la Fase de Definición.</w:t>
            </w:r>
          </w:p>
        </w:tc>
        <w:tc>
          <w:tcPr>
            <w:tcW w:w="1100" w:type="dxa"/>
            <w:vAlign w:val="top"/>
          </w:tcPr>
          <w:p w14:paraId="066C9162">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100902DA">
            <w:pPr>
              <w:spacing w:before="40" w:after="40"/>
              <w:jc w:val="left"/>
              <w:rPr>
                <w:sz w:val="22"/>
                <w:szCs w:val="22"/>
              </w:rPr>
            </w:pPr>
            <w:r>
              <w:rPr>
                <w:rFonts w:ascii="Calibri" w:hAnsi="Calibri" w:eastAsia="Calibri" w:cs="Calibri"/>
                <w:color w:val="1F1F1F"/>
                <w:sz w:val="16"/>
                <w:szCs w:val="16"/>
              </w:rPr>
              <w:t>Alcance revisado después: se descartaron US-03 y US-05 (ver sección 3).</w:t>
            </w:r>
          </w:p>
        </w:tc>
      </w:tr>
      <w:tr w14:paraId="1D23C3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375F0EDF">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3DF10BAB">
            <w:pPr>
              <w:spacing w:before="40" w:after="40"/>
              <w:jc w:val="left"/>
              <w:rPr>
                <w:sz w:val="22"/>
                <w:szCs w:val="22"/>
              </w:rPr>
            </w:pPr>
            <w:r>
              <w:rPr>
                <w:rFonts w:ascii="Calibri" w:hAnsi="Calibri" w:eastAsia="Calibri" w:cs="Calibri"/>
                <w:color w:val="1F1F1F"/>
                <w:sz w:val="16"/>
                <w:szCs w:val="16"/>
              </w:rPr>
              <w:t>4. Levantamiento de requerimientos con Bomberos: reunión con las compañías para definir flujos de uso.</w:t>
            </w:r>
          </w:p>
        </w:tc>
        <w:tc>
          <w:tcPr>
            <w:tcW w:w="1150" w:type="dxa"/>
            <w:vAlign w:val="top"/>
          </w:tcPr>
          <w:p w14:paraId="41ED6EBD">
            <w:pPr>
              <w:spacing w:before="40" w:after="40"/>
              <w:jc w:val="left"/>
              <w:rPr>
                <w:sz w:val="22"/>
                <w:szCs w:val="22"/>
              </w:rPr>
            </w:pPr>
            <w:r>
              <w:rPr>
                <w:rFonts w:ascii="Calibri" w:hAnsi="Calibri" w:eastAsia="Calibri" w:cs="Calibri"/>
                <w:color w:val="1F1F1F"/>
                <w:sz w:val="16"/>
                <w:szCs w:val="16"/>
              </w:rPr>
              <w:t>Audio/grabaciones, actas de reunión.</w:t>
            </w:r>
          </w:p>
        </w:tc>
        <w:tc>
          <w:tcPr>
            <w:tcW w:w="850" w:type="dxa"/>
            <w:vAlign w:val="top"/>
          </w:tcPr>
          <w:p w14:paraId="136ABC95">
            <w:pPr>
              <w:spacing w:before="40" w:after="40"/>
              <w:jc w:val="left"/>
              <w:rPr>
                <w:sz w:val="22"/>
                <w:szCs w:val="22"/>
              </w:rPr>
            </w:pPr>
            <w:r>
              <w:rPr>
                <w:rFonts w:ascii="Calibri" w:hAnsi="Calibri" w:eastAsia="Calibri" w:cs="Calibri"/>
                <w:color w:val="1F1F1F"/>
                <w:sz w:val="16"/>
                <w:szCs w:val="16"/>
              </w:rPr>
              <w:t>Semana 4</w:t>
            </w:r>
          </w:p>
        </w:tc>
        <w:tc>
          <w:tcPr>
            <w:tcW w:w="1000" w:type="dxa"/>
            <w:vAlign w:val="top"/>
          </w:tcPr>
          <w:p w14:paraId="0D5A5B43">
            <w:pPr>
              <w:spacing w:before="40" w:after="40"/>
              <w:jc w:val="left"/>
              <w:rPr>
                <w:sz w:val="22"/>
                <w:szCs w:val="22"/>
              </w:rPr>
            </w:pPr>
            <w:r>
              <w:rPr>
                <w:rFonts w:ascii="Calibri" w:hAnsi="Calibri" w:eastAsia="Calibri" w:cs="Calibri"/>
                <w:color w:val="1F1F1F"/>
                <w:sz w:val="16"/>
                <w:szCs w:val="16"/>
              </w:rPr>
              <w:t>Felipe Caro (Nicolás Núñez, Marco Antilef)</w:t>
            </w:r>
          </w:p>
        </w:tc>
        <w:tc>
          <w:tcPr>
            <w:tcW w:w="1400" w:type="dxa"/>
            <w:vAlign w:val="top"/>
          </w:tcPr>
          <w:p w14:paraId="1CCFB955">
            <w:pPr>
              <w:spacing w:before="40" w:after="40"/>
              <w:jc w:val="left"/>
              <w:rPr>
                <w:sz w:val="22"/>
                <w:szCs w:val="22"/>
              </w:rPr>
            </w:pPr>
            <w:r>
              <w:rPr>
                <w:rFonts w:ascii="Calibri" w:hAnsi="Calibri" w:eastAsia="Calibri" w:cs="Calibri"/>
                <w:color w:val="1F1F1F"/>
                <w:sz w:val="16"/>
                <w:szCs w:val="16"/>
              </w:rPr>
              <w:t>Facilita la co-creación directa con el cliente. Se realizó la reunión técnica con la Compañía de Villa Alhué (Sprint 2) y se diseñaron wireframes/mockups.</w:t>
            </w:r>
          </w:p>
        </w:tc>
        <w:tc>
          <w:tcPr>
            <w:tcW w:w="1100" w:type="dxa"/>
            <w:vAlign w:val="top"/>
          </w:tcPr>
          <w:p w14:paraId="15E9B7B2">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7F074FE3">
            <w:pPr>
              <w:spacing w:before="40" w:after="40"/>
              <w:jc w:val="left"/>
              <w:rPr>
                <w:sz w:val="22"/>
                <w:szCs w:val="22"/>
              </w:rPr>
            </w:pPr>
            <w:r>
              <w:rPr>
                <w:rFonts w:ascii="Calibri" w:hAnsi="Calibri" w:eastAsia="Calibri" w:cs="Calibri"/>
                <w:color w:val="1F1F1F"/>
                <w:sz w:val="16"/>
                <w:szCs w:val="16"/>
              </w:rPr>
              <w:t>Sin ajustes.</w:t>
            </w:r>
          </w:p>
        </w:tc>
      </w:tr>
      <w:tr w14:paraId="27EF72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486D2696">
            <w:pPr>
              <w:spacing w:before="40" w:after="40"/>
              <w:jc w:val="left"/>
              <w:rPr>
                <w:sz w:val="22"/>
                <w:szCs w:val="22"/>
              </w:rPr>
            </w:pPr>
            <w:r>
              <w:rPr>
                <w:rFonts w:ascii="Calibri" w:hAnsi="Calibri" w:eastAsia="Calibri" w:cs="Calibri"/>
                <w:color w:val="1F1F1F"/>
                <w:sz w:val="16"/>
                <w:szCs w:val="16"/>
              </w:rPr>
              <w:t>Diseño e implementación de bases de datos relacionales</w:t>
            </w:r>
          </w:p>
        </w:tc>
        <w:tc>
          <w:tcPr>
            <w:tcW w:w="1600" w:type="dxa"/>
            <w:vAlign w:val="top"/>
          </w:tcPr>
          <w:p w14:paraId="0B961EBB">
            <w:pPr>
              <w:spacing w:before="40" w:after="40"/>
              <w:jc w:val="left"/>
              <w:rPr>
                <w:sz w:val="22"/>
                <w:szCs w:val="22"/>
              </w:rPr>
            </w:pPr>
            <w:r>
              <w:rPr>
                <w:rFonts w:ascii="Calibri" w:hAnsi="Calibri" w:eastAsia="Calibri" w:cs="Calibri"/>
                <w:color w:val="1F1F1F"/>
                <w:sz w:val="16"/>
                <w:szCs w:val="16"/>
              </w:rPr>
              <w:t>5. Diseño de base de datos centralizada: modelado de tablas y relaciones espaciales de la red de grifos.</w:t>
            </w:r>
          </w:p>
        </w:tc>
        <w:tc>
          <w:tcPr>
            <w:tcW w:w="1150" w:type="dxa"/>
            <w:vAlign w:val="top"/>
          </w:tcPr>
          <w:p w14:paraId="7CA7896B">
            <w:pPr>
              <w:spacing w:before="40" w:after="40"/>
              <w:jc w:val="left"/>
              <w:rPr>
                <w:sz w:val="22"/>
                <w:szCs w:val="22"/>
              </w:rPr>
            </w:pPr>
            <w:r>
              <w:rPr>
                <w:rFonts w:ascii="Calibri" w:hAnsi="Calibri" w:eastAsia="Calibri" w:cs="Calibri"/>
                <w:color w:val="1F1F1F"/>
                <w:sz w:val="16"/>
                <w:szCs w:val="16"/>
              </w:rPr>
              <w:t>Entornos de modelado SQL.</w:t>
            </w:r>
          </w:p>
        </w:tc>
        <w:tc>
          <w:tcPr>
            <w:tcW w:w="850" w:type="dxa"/>
            <w:vAlign w:val="top"/>
          </w:tcPr>
          <w:p w14:paraId="55BAF3A4">
            <w:pPr>
              <w:spacing w:before="40" w:after="40"/>
              <w:jc w:val="left"/>
              <w:rPr>
                <w:sz w:val="22"/>
                <w:szCs w:val="22"/>
              </w:rPr>
            </w:pPr>
            <w:r>
              <w:rPr>
                <w:rFonts w:ascii="Calibri" w:hAnsi="Calibri" w:eastAsia="Calibri" w:cs="Calibri"/>
                <w:color w:val="1F1F1F"/>
                <w:sz w:val="16"/>
                <w:szCs w:val="16"/>
              </w:rPr>
              <w:t>Semana 4 a 5</w:t>
            </w:r>
          </w:p>
        </w:tc>
        <w:tc>
          <w:tcPr>
            <w:tcW w:w="1000" w:type="dxa"/>
            <w:vAlign w:val="top"/>
          </w:tcPr>
          <w:p w14:paraId="43EB7CAA">
            <w:pPr>
              <w:spacing w:before="40" w:after="40"/>
              <w:jc w:val="left"/>
              <w:rPr>
                <w:sz w:val="22"/>
                <w:szCs w:val="22"/>
              </w:rPr>
            </w:pPr>
            <w:r>
              <w:rPr>
                <w:rFonts w:ascii="Calibri" w:hAnsi="Calibri" w:eastAsia="Calibri" w:cs="Calibri"/>
                <w:color w:val="1F1F1F"/>
                <w:sz w:val="16"/>
                <w:szCs w:val="16"/>
              </w:rPr>
              <w:t>Marco Antilef (Felipe Caro, Nicolás Núñez)</w:t>
            </w:r>
          </w:p>
        </w:tc>
        <w:tc>
          <w:tcPr>
            <w:tcW w:w="1400" w:type="dxa"/>
            <w:vAlign w:val="top"/>
          </w:tcPr>
          <w:p w14:paraId="075260C3">
            <w:pPr>
              <w:spacing w:before="40" w:after="40"/>
              <w:jc w:val="left"/>
              <w:rPr>
                <w:sz w:val="22"/>
                <w:szCs w:val="22"/>
              </w:rPr>
            </w:pPr>
            <w:r>
              <w:rPr>
                <w:rFonts w:ascii="Calibri" w:hAnsi="Calibri" w:eastAsia="Calibri" w:cs="Calibri"/>
                <w:color w:val="1F1F1F"/>
                <w:sz w:val="16"/>
                <w:szCs w:val="16"/>
              </w:rPr>
              <w:t>Complejidad alta por las consultas espaciales.</w:t>
            </w:r>
          </w:p>
        </w:tc>
        <w:tc>
          <w:tcPr>
            <w:tcW w:w="1100" w:type="dxa"/>
            <w:vAlign w:val="top"/>
          </w:tcPr>
          <w:p w14:paraId="62670969">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410EDED1">
            <w:pPr>
              <w:spacing w:before="40" w:after="40"/>
              <w:jc w:val="left"/>
              <w:rPr>
                <w:sz w:val="22"/>
                <w:szCs w:val="22"/>
              </w:rPr>
            </w:pPr>
            <w:r>
              <w:rPr>
                <w:rFonts w:ascii="Calibri" w:hAnsi="Calibri" w:eastAsia="Calibri" w:cs="Calibri"/>
                <w:color w:val="1F1F1F"/>
                <w:sz w:val="16"/>
                <w:szCs w:val="16"/>
              </w:rPr>
              <w:t>Se implementó en Supabase/PostgreSQL con PostGIS.</w:t>
            </w:r>
          </w:p>
        </w:tc>
      </w:tr>
      <w:tr w14:paraId="4762D5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13676F17">
            <w:pPr>
              <w:spacing w:before="40" w:after="40"/>
              <w:jc w:val="left"/>
              <w:rPr>
                <w:sz w:val="22"/>
                <w:szCs w:val="22"/>
              </w:rPr>
            </w:pPr>
            <w:r>
              <w:rPr>
                <w:rFonts w:ascii="Calibri" w:hAnsi="Calibri" w:eastAsia="Calibri" w:cs="Calibri"/>
                <w:color w:val="1F1F1F"/>
                <w:sz w:val="16"/>
                <w:szCs w:val="16"/>
              </w:rPr>
              <w:t>Desarrollo de aplicaciones móviles</w:t>
            </w:r>
          </w:p>
        </w:tc>
        <w:tc>
          <w:tcPr>
            <w:tcW w:w="1600" w:type="dxa"/>
            <w:vAlign w:val="top"/>
          </w:tcPr>
          <w:p w14:paraId="7499FBC0">
            <w:pPr>
              <w:spacing w:before="40" w:after="40"/>
              <w:jc w:val="left"/>
              <w:rPr>
                <w:sz w:val="22"/>
                <w:szCs w:val="22"/>
              </w:rPr>
            </w:pPr>
            <w:r>
              <w:rPr>
                <w:rFonts w:ascii="Calibri" w:hAnsi="Calibri" w:eastAsia="Calibri" w:cs="Calibri"/>
                <w:color w:val="1F1F1F"/>
                <w:sz w:val="16"/>
                <w:szCs w:val="16"/>
              </w:rPr>
              <w:t>6. Diseño de arquitectura (app + backend).</w:t>
            </w:r>
          </w:p>
        </w:tc>
        <w:tc>
          <w:tcPr>
            <w:tcW w:w="1150" w:type="dxa"/>
            <w:vAlign w:val="top"/>
          </w:tcPr>
          <w:p w14:paraId="2413873D">
            <w:pPr>
              <w:spacing w:before="40" w:after="40"/>
              <w:jc w:val="left"/>
              <w:rPr>
                <w:sz w:val="22"/>
                <w:szCs w:val="22"/>
              </w:rPr>
            </w:pPr>
            <w:r>
              <w:rPr>
                <w:rFonts w:ascii="Calibri" w:hAnsi="Calibri" w:eastAsia="Calibri" w:cs="Calibri"/>
                <w:color w:val="1F1F1F"/>
                <w:sz w:val="16"/>
                <w:szCs w:val="16"/>
              </w:rPr>
              <w:t>Documento de Arquitectura de Software, estándar 4+1.</w:t>
            </w:r>
          </w:p>
        </w:tc>
        <w:tc>
          <w:tcPr>
            <w:tcW w:w="850" w:type="dxa"/>
            <w:vAlign w:val="top"/>
          </w:tcPr>
          <w:p w14:paraId="05DB74E0">
            <w:pPr>
              <w:spacing w:before="40" w:after="40"/>
              <w:jc w:val="left"/>
              <w:rPr>
                <w:sz w:val="22"/>
                <w:szCs w:val="22"/>
              </w:rPr>
            </w:pPr>
            <w:r>
              <w:rPr>
                <w:rFonts w:ascii="Calibri" w:hAnsi="Calibri" w:eastAsia="Calibri" w:cs="Calibri"/>
                <w:color w:val="1F1F1F"/>
                <w:sz w:val="16"/>
                <w:szCs w:val="16"/>
              </w:rPr>
              <w:t>Semana 4 a 5</w:t>
            </w:r>
          </w:p>
        </w:tc>
        <w:tc>
          <w:tcPr>
            <w:tcW w:w="1000" w:type="dxa"/>
            <w:vAlign w:val="top"/>
          </w:tcPr>
          <w:p w14:paraId="131287F8">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4473672B">
            <w:pPr>
              <w:spacing w:before="40" w:after="40"/>
              <w:jc w:val="left"/>
              <w:rPr>
                <w:sz w:val="22"/>
                <w:szCs w:val="22"/>
              </w:rPr>
            </w:pPr>
            <w:r>
              <w:rPr>
                <w:rFonts w:ascii="Calibri" w:hAnsi="Calibri" w:eastAsia="Calibri" w:cs="Calibri"/>
                <w:color w:val="1F1F1F"/>
                <w:sz w:val="16"/>
                <w:szCs w:val="16"/>
              </w:rPr>
              <w:t>Quedó formalizada en el DAS v1.0 (Sprint 3).</w:t>
            </w:r>
          </w:p>
        </w:tc>
        <w:tc>
          <w:tcPr>
            <w:tcW w:w="1100" w:type="dxa"/>
            <w:vAlign w:val="top"/>
          </w:tcPr>
          <w:p w14:paraId="4C080733">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5F2C857E">
            <w:pPr>
              <w:spacing w:before="40" w:after="40"/>
              <w:jc w:val="left"/>
              <w:rPr>
                <w:sz w:val="22"/>
                <w:szCs w:val="22"/>
              </w:rPr>
            </w:pPr>
            <w:r>
              <w:rPr>
                <w:rFonts w:ascii="Calibri" w:hAnsi="Calibri" w:eastAsia="Calibri" w:cs="Calibri"/>
                <w:color w:val="1F1F1F"/>
                <w:sz w:val="16"/>
                <w:szCs w:val="16"/>
              </w:rPr>
              <w:t>Sin ajustes.</w:t>
            </w:r>
          </w:p>
        </w:tc>
      </w:tr>
      <w:tr w14:paraId="147BA2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2080F795">
            <w:pPr>
              <w:spacing w:before="40" w:after="40"/>
              <w:jc w:val="left"/>
              <w:rPr>
                <w:sz w:val="22"/>
                <w:szCs w:val="22"/>
              </w:rPr>
            </w:pPr>
            <w:r>
              <w:rPr>
                <w:rFonts w:ascii="Calibri" w:hAnsi="Calibri" w:eastAsia="Calibri" w:cs="Calibri"/>
                <w:color w:val="1F1F1F"/>
                <w:sz w:val="16"/>
                <w:szCs w:val="16"/>
              </w:rPr>
              <w:t>Diseño e implementación de bases de datos relacionales</w:t>
            </w:r>
          </w:p>
        </w:tc>
        <w:tc>
          <w:tcPr>
            <w:tcW w:w="1600" w:type="dxa"/>
            <w:vAlign w:val="top"/>
          </w:tcPr>
          <w:p w14:paraId="709FB0F4">
            <w:pPr>
              <w:spacing w:before="40" w:after="40"/>
              <w:jc w:val="left"/>
              <w:rPr>
                <w:sz w:val="22"/>
                <w:szCs w:val="22"/>
              </w:rPr>
            </w:pPr>
            <w:r>
              <w:rPr>
                <w:rFonts w:ascii="Calibri" w:hAnsi="Calibri" w:eastAsia="Calibri" w:cs="Calibri"/>
                <w:color w:val="1F1F1F"/>
                <w:sz w:val="16"/>
                <w:szCs w:val="16"/>
              </w:rPr>
              <w:t>7. Desarrollo de la base de datos y backend/API.</w:t>
            </w:r>
          </w:p>
        </w:tc>
        <w:tc>
          <w:tcPr>
            <w:tcW w:w="1150" w:type="dxa"/>
            <w:vAlign w:val="top"/>
          </w:tcPr>
          <w:p w14:paraId="61DDF01E">
            <w:pPr>
              <w:spacing w:before="40" w:after="40"/>
              <w:jc w:val="left"/>
              <w:rPr>
                <w:sz w:val="22"/>
                <w:szCs w:val="22"/>
              </w:rPr>
            </w:pPr>
            <w:r>
              <w:rPr>
                <w:rFonts w:ascii="Calibri" w:hAnsi="Calibri" w:eastAsia="Calibri" w:cs="Calibri"/>
                <w:color w:val="1F1F1F"/>
                <w:sz w:val="16"/>
                <w:szCs w:val="16"/>
              </w:rPr>
              <w:t>Supabase, PostgreSQL/PostGIS.</w:t>
            </w:r>
          </w:p>
        </w:tc>
        <w:tc>
          <w:tcPr>
            <w:tcW w:w="850" w:type="dxa"/>
            <w:vAlign w:val="top"/>
          </w:tcPr>
          <w:p w14:paraId="4804782C">
            <w:pPr>
              <w:spacing w:before="40" w:after="40"/>
              <w:jc w:val="left"/>
              <w:rPr>
                <w:sz w:val="22"/>
                <w:szCs w:val="22"/>
              </w:rPr>
            </w:pPr>
            <w:r>
              <w:rPr>
                <w:rFonts w:ascii="Calibri" w:hAnsi="Calibri" w:eastAsia="Calibri" w:cs="Calibri"/>
                <w:color w:val="1F1F1F"/>
                <w:sz w:val="16"/>
                <w:szCs w:val="16"/>
              </w:rPr>
              <w:t>Semana 6 a 8</w:t>
            </w:r>
          </w:p>
        </w:tc>
        <w:tc>
          <w:tcPr>
            <w:tcW w:w="1000" w:type="dxa"/>
            <w:vAlign w:val="top"/>
          </w:tcPr>
          <w:p w14:paraId="43E1FD5D">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743EF2BD">
            <w:pPr>
              <w:spacing w:before="40" w:after="40"/>
              <w:jc w:val="left"/>
              <w:rPr>
                <w:sz w:val="22"/>
                <w:szCs w:val="22"/>
              </w:rPr>
            </w:pPr>
            <w:r>
              <w:rPr>
                <w:rFonts w:ascii="Calibri" w:hAnsi="Calibri" w:eastAsia="Calibri" w:cs="Calibri"/>
                <w:color w:val="1F1F1F"/>
                <w:sz w:val="16"/>
                <w:szCs w:val="16"/>
              </w:rPr>
              <w:t>Autenticación con RBAC y políticas RLS implementadas; probadas con rol bombero y rol tesorero.</w:t>
            </w:r>
          </w:p>
        </w:tc>
        <w:tc>
          <w:tcPr>
            <w:tcW w:w="1100" w:type="dxa"/>
            <w:vAlign w:val="top"/>
          </w:tcPr>
          <w:p w14:paraId="2DEFC41A">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4B541E8A">
            <w:pPr>
              <w:spacing w:before="40" w:after="40"/>
              <w:jc w:val="left"/>
              <w:rPr>
                <w:sz w:val="22"/>
                <w:szCs w:val="22"/>
              </w:rPr>
            </w:pPr>
            <w:r>
              <w:rPr>
                <w:rFonts w:ascii="Calibri" w:hAnsi="Calibri" w:eastAsia="Calibri" w:cs="Calibri"/>
                <w:color w:val="1F1F1F"/>
                <w:sz w:val="16"/>
                <w:szCs w:val="16"/>
              </w:rPr>
              <w:t>Sin ajustes.</w:t>
            </w:r>
          </w:p>
        </w:tc>
      </w:tr>
      <w:tr w14:paraId="472DE1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162E314B">
            <w:pPr>
              <w:spacing w:before="40" w:after="40"/>
              <w:jc w:val="left"/>
              <w:rPr>
                <w:sz w:val="22"/>
                <w:szCs w:val="22"/>
              </w:rPr>
            </w:pPr>
            <w:r>
              <w:rPr>
                <w:rFonts w:ascii="Calibri" w:hAnsi="Calibri" w:eastAsia="Calibri" w:cs="Calibri"/>
                <w:color w:val="1F1F1F"/>
                <w:sz w:val="16"/>
                <w:szCs w:val="16"/>
              </w:rPr>
              <w:t>Desarrollo de aplicaciones móviles</w:t>
            </w:r>
          </w:p>
        </w:tc>
        <w:tc>
          <w:tcPr>
            <w:tcW w:w="1600" w:type="dxa"/>
            <w:vAlign w:val="top"/>
          </w:tcPr>
          <w:p w14:paraId="7968387E">
            <w:pPr>
              <w:spacing w:before="40" w:after="40"/>
              <w:jc w:val="left"/>
              <w:rPr>
                <w:sz w:val="22"/>
                <w:szCs w:val="22"/>
              </w:rPr>
            </w:pPr>
            <w:r>
              <w:rPr>
                <w:rFonts w:ascii="Calibri" w:hAnsi="Calibri" w:eastAsia="Calibri" w:cs="Calibri"/>
                <w:color w:val="1F1F1F"/>
                <w:sz w:val="16"/>
                <w:szCs w:val="16"/>
              </w:rPr>
              <w:t>8. Desarrollo de la app móvil (funciones base).</w:t>
            </w:r>
          </w:p>
        </w:tc>
        <w:tc>
          <w:tcPr>
            <w:tcW w:w="1150" w:type="dxa"/>
            <w:vAlign w:val="top"/>
          </w:tcPr>
          <w:p w14:paraId="1C60F218">
            <w:pPr>
              <w:spacing w:before="40" w:after="40"/>
              <w:jc w:val="left"/>
              <w:rPr>
                <w:sz w:val="22"/>
                <w:szCs w:val="22"/>
              </w:rPr>
            </w:pPr>
            <w:r>
              <w:rPr>
                <w:rFonts w:ascii="Calibri" w:hAnsi="Calibri" w:eastAsia="Calibri" w:cs="Calibri"/>
                <w:color w:val="1F1F1F"/>
                <w:sz w:val="16"/>
                <w:szCs w:val="16"/>
              </w:rPr>
              <w:t>Flutter, Google Maps, emulador Android.</w:t>
            </w:r>
          </w:p>
        </w:tc>
        <w:tc>
          <w:tcPr>
            <w:tcW w:w="850" w:type="dxa"/>
            <w:vAlign w:val="top"/>
          </w:tcPr>
          <w:p w14:paraId="543D4FA4">
            <w:pPr>
              <w:spacing w:before="40" w:after="40"/>
              <w:jc w:val="left"/>
              <w:rPr>
                <w:sz w:val="22"/>
                <w:szCs w:val="22"/>
              </w:rPr>
            </w:pPr>
            <w:r>
              <w:rPr>
                <w:rFonts w:ascii="Calibri" w:hAnsi="Calibri" w:eastAsia="Calibri" w:cs="Calibri"/>
                <w:color w:val="1F1F1F"/>
                <w:sz w:val="16"/>
                <w:szCs w:val="16"/>
              </w:rPr>
              <w:t>Semana 6 a 9</w:t>
            </w:r>
          </w:p>
        </w:tc>
        <w:tc>
          <w:tcPr>
            <w:tcW w:w="1000" w:type="dxa"/>
            <w:vAlign w:val="top"/>
          </w:tcPr>
          <w:p w14:paraId="45E06873">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293CBC05">
            <w:pPr>
              <w:spacing w:before="40" w:after="40"/>
              <w:jc w:val="left"/>
              <w:rPr>
                <w:sz w:val="22"/>
                <w:szCs w:val="22"/>
              </w:rPr>
            </w:pPr>
            <w:r>
              <w:rPr>
                <w:rFonts w:ascii="Calibri" w:hAnsi="Calibri" w:eastAsia="Calibri" w:cs="Calibri"/>
                <w:color w:val="1F1F1F"/>
                <w:sz w:val="16"/>
                <w:szCs w:val="16"/>
              </w:rPr>
              <w:t>Mapa de grifos, grifo operativo más cercano y estado operativo funcionando.</w:t>
            </w:r>
          </w:p>
        </w:tc>
        <w:tc>
          <w:tcPr>
            <w:tcW w:w="1100" w:type="dxa"/>
            <w:vAlign w:val="top"/>
          </w:tcPr>
          <w:p w14:paraId="7989E455">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340253D4">
            <w:pPr>
              <w:spacing w:before="40" w:after="40"/>
              <w:jc w:val="left"/>
              <w:rPr>
                <w:sz w:val="22"/>
                <w:szCs w:val="22"/>
              </w:rPr>
            </w:pPr>
            <w:r>
              <w:rPr>
                <w:rFonts w:ascii="Calibri" w:hAnsi="Calibri" w:eastAsia="Calibri" w:cs="Calibri"/>
                <w:color w:val="1F1F1F"/>
                <w:sz w:val="16"/>
                <w:szCs w:val="16"/>
              </w:rPr>
              <w:t>Se descartaron US-03 y US-05 del alcance.</w:t>
            </w:r>
          </w:p>
        </w:tc>
      </w:tr>
      <w:tr w14:paraId="64C785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13E87EAD">
            <w:pPr>
              <w:spacing w:before="40" w:after="40"/>
              <w:jc w:val="left"/>
              <w:rPr>
                <w:sz w:val="22"/>
                <w:szCs w:val="22"/>
              </w:rPr>
            </w:pPr>
            <w:r>
              <w:rPr>
                <w:rFonts w:ascii="Calibri" w:hAnsi="Calibri" w:eastAsia="Calibri" w:cs="Calibri"/>
                <w:color w:val="1F1F1F"/>
                <w:sz w:val="16"/>
                <w:szCs w:val="16"/>
              </w:rPr>
              <w:t>Desarrollo de aplicaciones móviles</w:t>
            </w:r>
          </w:p>
        </w:tc>
        <w:tc>
          <w:tcPr>
            <w:tcW w:w="1600" w:type="dxa"/>
            <w:vAlign w:val="top"/>
          </w:tcPr>
          <w:p w14:paraId="2DA6C883">
            <w:pPr>
              <w:spacing w:before="40" w:after="40"/>
              <w:jc w:val="left"/>
              <w:rPr>
                <w:sz w:val="22"/>
                <w:szCs w:val="22"/>
              </w:rPr>
            </w:pPr>
            <w:r>
              <w:rPr>
                <w:rFonts w:ascii="Calibri" w:hAnsi="Calibri" w:eastAsia="Calibri" w:cs="Calibri"/>
                <w:color w:val="1F1F1F"/>
                <w:sz w:val="16"/>
                <w:szCs w:val="16"/>
              </w:rPr>
              <w:t>9. Desarrollo de actualización en terreno (offline).</w:t>
            </w:r>
          </w:p>
        </w:tc>
        <w:tc>
          <w:tcPr>
            <w:tcW w:w="1150" w:type="dxa"/>
            <w:vAlign w:val="top"/>
          </w:tcPr>
          <w:p w14:paraId="3E0D1208">
            <w:pPr>
              <w:spacing w:before="40" w:after="40"/>
              <w:jc w:val="left"/>
              <w:rPr>
                <w:sz w:val="22"/>
                <w:szCs w:val="22"/>
              </w:rPr>
            </w:pPr>
            <w:r>
              <w:rPr>
                <w:rFonts w:ascii="Calibri" w:hAnsi="Calibri" w:eastAsia="Calibri" w:cs="Calibri"/>
                <w:color w:val="1F1F1F"/>
                <w:sz w:val="16"/>
                <w:szCs w:val="16"/>
              </w:rPr>
              <w:t>Flutter, Supabase.</w:t>
            </w:r>
          </w:p>
        </w:tc>
        <w:tc>
          <w:tcPr>
            <w:tcW w:w="850" w:type="dxa"/>
            <w:vAlign w:val="top"/>
          </w:tcPr>
          <w:p w14:paraId="404296DF">
            <w:pPr>
              <w:spacing w:before="40" w:after="40"/>
              <w:jc w:val="left"/>
              <w:rPr>
                <w:sz w:val="22"/>
                <w:szCs w:val="22"/>
              </w:rPr>
            </w:pPr>
            <w:r>
              <w:rPr>
                <w:rFonts w:ascii="Calibri" w:hAnsi="Calibri" w:eastAsia="Calibri" w:cs="Calibri"/>
                <w:color w:val="1F1F1F"/>
                <w:sz w:val="16"/>
                <w:szCs w:val="16"/>
              </w:rPr>
              <w:t>Semana 9 a 10</w:t>
            </w:r>
          </w:p>
        </w:tc>
        <w:tc>
          <w:tcPr>
            <w:tcW w:w="1000" w:type="dxa"/>
            <w:vAlign w:val="top"/>
          </w:tcPr>
          <w:p w14:paraId="1F1E8598">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08C48BB7">
            <w:pPr>
              <w:spacing w:before="40" w:after="40"/>
              <w:jc w:val="left"/>
              <w:rPr>
                <w:sz w:val="22"/>
                <w:szCs w:val="22"/>
              </w:rPr>
            </w:pPr>
            <w:r>
              <w:rPr>
                <w:rFonts w:ascii="Calibri" w:hAnsi="Calibri" w:eastAsia="Calibri" w:cs="Calibri"/>
                <w:color w:val="1F1F1F"/>
                <w:sz w:val="16"/>
                <w:szCs w:val="16"/>
              </w:rPr>
              <w:t>La actualización de estado con registro de auditoría ya está lista; el modo offline es complejo.</w:t>
            </w:r>
          </w:p>
        </w:tc>
        <w:tc>
          <w:tcPr>
            <w:tcW w:w="1100" w:type="dxa"/>
            <w:vAlign w:val="top"/>
          </w:tcPr>
          <w:p w14:paraId="5CAA7547">
            <w:pPr>
              <w:spacing w:before="40" w:after="40"/>
              <w:jc w:val="left"/>
              <w:rPr>
                <w:sz w:val="22"/>
                <w:szCs w:val="22"/>
              </w:rPr>
            </w:pPr>
            <w:r>
              <w:rPr>
                <w:rFonts w:ascii="Calibri" w:hAnsi="Calibri" w:eastAsia="Calibri" w:cs="Calibri"/>
                <w:b/>
                <w:bCs/>
                <w:color w:val="1F1F1F"/>
                <w:sz w:val="16"/>
                <w:szCs w:val="16"/>
              </w:rPr>
              <w:t>Ajustada</w:t>
            </w:r>
          </w:p>
        </w:tc>
        <w:tc>
          <w:tcPr>
            <w:tcW w:w="1226" w:type="dxa"/>
            <w:vAlign w:val="top"/>
          </w:tcPr>
          <w:p w14:paraId="0F3165E1">
            <w:pPr>
              <w:spacing w:before="40" w:after="40"/>
              <w:jc w:val="left"/>
              <w:rPr>
                <w:sz w:val="22"/>
                <w:szCs w:val="22"/>
              </w:rPr>
            </w:pPr>
            <w:r>
              <w:rPr>
                <w:rFonts w:ascii="Calibri" w:hAnsi="Calibri" w:eastAsia="Calibri" w:cs="Calibri"/>
                <w:color w:val="1F1F1F"/>
                <w:sz w:val="16"/>
                <w:szCs w:val="16"/>
              </w:rPr>
              <w:t>Motor de sincronización offline postergado a la segunda fase (Backlog v4.0).</w:t>
            </w:r>
          </w:p>
        </w:tc>
      </w:tr>
      <w:tr w14:paraId="1553CF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7E28BE99">
            <w:pPr>
              <w:spacing w:before="40" w:after="40"/>
              <w:jc w:val="left"/>
              <w:rPr>
                <w:sz w:val="22"/>
                <w:szCs w:val="22"/>
              </w:rPr>
            </w:pPr>
            <w:r>
              <w:rPr>
                <w:rFonts w:ascii="Calibri" w:hAnsi="Calibri" w:eastAsia="Calibri" w:cs="Calibri"/>
                <w:color w:val="1F1F1F"/>
                <w:sz w:val="16"/>
                <w:szCs w:val="16"/>
              </w:rPr>
              <w:t>Integración de sistemas y APIs de geolocalización</w:t>
            </w:r>
          </w:p>
        </w:tc>
        <w:tc>
          <w:tcPr>
            <w:tcW w:w="1600" w:type="dxa"/>
            <w:vAlign w:val="top"/>
          </w:tcPr>
          <w:p w14:paraId="2651658F">
            <w:pPr>
              <w:spacing w:before="40" w:after="40"/>
              <w:jc w:val="left"/>
              <w:rPr>
                <w:sz w:val="22"/>
                <w:szCs w:val="22"/>
              </w:rPr>
            </w:pPr>
            <w:r>
              <w:rPr>
                <w:rFonts w:ascii="Calibri" w:hAnsi="Calibri" w:eastAsia="Calibri" w:cs="Calibri"/>
                <w:color w:val="1F1F1F"/>
                <w:sz w:val="16"/>
                <w:szCs w:val="16"/>
              </w:rPr>
              <w:t>10. Integración app-base de datos.</w:t>
            </w:r>
          </w:p>
        </w:tc>
        <w:tc>
          <w:tcPr>
            <w:tcW w:w="1150" w:type="dxa"/>
            <w:vAlign w:val="top"/>
          </w:tcPr>
          <w:p w14:paraId="241F3A6B">
            <w:pPr>
              <w:spacing w:before="40" w:after="40"/>
              <w:jc w:val="left"/>
              <w:rPr>
                <w:sz w:val="22"/>
                <w:szCs w:val="22"/>
              </w:rPr>
            </w:pPr>
            <w:r>
              <w:rPr>
                <w:rFonts w:ascii="Calibri" w:hAnsi="Calibri" w:eastAsia="Calibri" w:cs="Calibri"/>
                <w:color w:val="1F1F1F"/>
                <w:sz w:val="16"/>
                <w:szCs w:val="16"/>
              </w:rPr>
              <w:t>Flutter, Supabase.</w:t>
            </w:r>
          </w:p>
        </w:tc>
        <w:tc>
          <w:tcPr>
            <w:tcW w:w="850" w:type="dxa"/>
            <w:vAlign w:val="top"/>
          </w:tcPr>
          <w:p w14:paraId="662FFE96">
            <w:pPr>
              <w:spacing w:before="40" w:after="40"/>
              <w:jc w:val="left"/>
              <w:rPr>
                <w:sz w:val="22"/>
                <w:szCs w:val="22"/>
              </w:rPr>
            </w:pPr>
            <w:r>
              <w:rPr>
                <w:rFonts w:ascii="Calibri" w:hAnsi="Calibri" w:eastAsia="Calibri" w:cs="Calibri"/>
                <w:color w:val="1F1F1F"/>
                <w:sz w:val="16"/>
                <w:szCs w:val="16"/>
              </w:rPr>
              <w:t>Semana 10 a 11</w:t>
            </w:r>
          </w:p>
        </w:tc>
        <w:tc>
          <w:tcPr>
            <w:tcW w:w="1000" w:type="dxa"/>
            <w:vAlign w:val="top"/>
          </w:tcPr>
          <w:p w14:paraId="1A574C7D">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5F231E34">
            <w:pPr>
              <w:spacing w:before="40" w:after="40"/>
              <w:jc w:val="left"/>
              <w:rPr>
                <w:sz w:val="22"/>
                <w:szCs w:val="22"/>
              </w:rPr>
            </w:pPr>
            <w:r>
              <w:rPr>
                <w:rFonts w:ascii="Calibri" w:hAnsi="Calibri" w:eastAsia="Calibri" w:cs="Calibri"/>
                <w:color w:val="1F1F1F"/>
                <w:sz w:val="16"/>
                <w:szCs w:val="16"/>
              </w:rPr>
              <w:t>La app ya consume la base de datos en los módulos desarrollados; faltan los módulos pendientes.</w:t>
            </w:r>
          </w:p>
        </w:tc>
        <w:tc>
          <w:tcPr>
            <w:tcW w:w="1100" w:type="dxa"/>
            <w:vAlign w:val="top"/>
          </w:tcPr>
          <w:p w14:paraId="01E65F3D">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1935B66B">
            <w:pPr>
              <w:spacing w:before="40" w:after="40"/>
              <w:jc w:val="left"/>
              <w:rPr>
                <w:sz w:val="22"/>
                <w:szCs w:val="22"/>
              </w:rPr>
            </w:pPr>
            <w:r>
              <w:rPr>
                <w:rFonts w:ascii="Calibri" w:hAnsi="Calibri" w:eastAsia="Calibri" w:cs="Calibri"/>
                <w:color w:val="1F1F1F"/>
                <w:sz w:val="16"/>
                <w:szCs w:val="16"/>
              </w:rPr>
              <w:t>Sin ajustes.</w:t>
            </w:r>
          </w:p>
        </w:tc>
      </w:tr>
      <w:tr w14:paraId="4D284F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38599F11">
            <w:pPr>
              <w:spacing w:before="40" w:after="40"/>
              <w:jc w:val="left"/>
              <w:rPr>
                <w:sz w:val="22"/>
                <w:szCs w:val="22"/>
              </w:rPr>
            </w:pPr>
            <w:r>
              <w:rPr>
                <w:rFonts w:ascii="Calibri" w:hAnsi="Calibri" w:eastAsia="Calibri" w:cs="Calibri"/>
                <w:color w:val="1F1F1F"/>
                <w:sz w:val="16"/>
                <w:szCs w:val="16"/>
              </w:rPr>
              <w:t>Integración de sistemas y APIs de geolocalización</w:t>
            </w:r>
          </w:p>
        </w:tc>
        <w:tc>
          <w:tcPr>
            <w:tcW w:w="1600" w:type="dxa"/>
            <w:vAlign w:val="top"/>
          </w:tcPr>
          <w:p w14:paraId="4593F4E3">
            <w:pPr>
              <w:spacing w:before="40" w:after="40"/>
              <w:jc w:val="left"/>
              <w:rPr>
                <w:sz w:val="22"/>
                <w:szCs w:val="22"/>
              </w:rPr>
            </w:pPr>
            <w:r>
              <w:rPr>
                <w:rFonts w:ascii="Calibri" w:hAnsi="Calibri" w:eastAsia="Calibri" w:cs="Calibri"/>
                <w:color w:val="1F1F1F"/>
                <w:sz w:val="16"/>
                <w:szCs w:val="16"/>
              </w:rPr>
              <w:t>11. Pruebas internas y validación en terreno.</w:t>
            </w:r>
          </w:p>
        </w:tc>
        <w:tc>
          <w:tcPr>
            <w:tcW w:w="1150" w:type="dxa"/>
            <w:vAlign w:val="top"/>
          </w:tcPr>
          <w:p w14:paraId="47F049A1">
            <w:pPr>
              <w:spacing w:before="40" w:after="40"/>
              <w:jc w:val="left"/>
              <w:rPr>
                <w:sz w:val="22"/>
                <w:szCs w:val="22"/>
              </w:rPr>
            </w:pPr>
            <w:r>
              <w:rPr>
                <w:rFonts w:ascii="Calibri" w:hAnsi="Calibri" w:eastAsia="Calibri" w:cs="Calibri"/>
                <w:color w:val="1F1F1F"/>
                <w:sz w:val="16"/>
                <w:szCs w:val="16"/>
              </w:rPr>
              <w:t>Cuentas de prueba, apoyo de Bomberos.</w:t>
            </w:r>
          </w:p>
        </w:tc>
        <w:tc>
          <w:tcPr>
            <w:tcW w:w="850" w:type="dxa"/>
            <w:vAlign w:val="top"/>
          </w:tcPr>
          <w:p w14:paraId="5A5876B6">
            <w:pPr>
              <w:spacing w:before="40" w:after="40"/>
              <w:jc w:val="left"/>
              <w:rPr>
                <w:sz w:val="22"/>
                <w:szCs w:val="22"/>
              </w:rPr>
            </w:pPr>
            <w:r>
              <w:rPr>
                <w:rFonts w:ascii="Calibri" w:hAnsi="Calibri" w:eastAsia="Calibri" w:cs="Calibri"/>
                <w:color w:val="1F1F1F"/>
                <w:sz w:val="16"/>
                <w:szCs w:val="16"/>
              </w:rPr>
              <w:t>Semana 11</w:t>
            </w:r>
          </w:p>
        </w:tc>
        <w:tc>
          <w:tcPr>
            <w:tcW w:w="1000" w:type="dxa"/>
            <w:vAlign w:val="top"/>
          </w:tcPr>
          <w:p w14:paraId="74C90AD4">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76969F61">
            <w:pPr>
              <w:spacing w:before="40" w:after="40"/>
              <w:jc w:val="left"/>
              <w:rPr>
                <w:sz w:val="22"/>
                <w:szCs w:val="22"/>
              </w:rPr>
            </w:pPr>
            <w:r>
              <w:rPr>
                <w:rFonts w:ascii="Calibri" w:hAnsi="Calibri" w:eastAsia="Calibri" w:cs="Calibri"/>
                <w:color w:val="1F1F1F"/>
                <w:sz w:val="16"/>
                <w:szCs w:val="16"/>
              </w:rPr>
              <w:t>Pruebas de seguridad RLS realizadas; la validación en terreno depende de credenciales definitivas.</w:t>
            </w:r>
          </w:p>
        </w:tc>
        <w:tc>
          <w:tcPr>
            <w:tcW w:w="1100" w:type="dxa"/>
            <w:vAlign w:val="top"/>
          </w:tcPr>
          <w:p w14:paraId="4EE16CBA">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5632B34F">
            <w:pPr>
              <w:spacing w:before="40" w:after="40"/>
              <w:jc w:val="left"/>
              <w:rPr>
                <w:sz w:val="22"/>
                <w:szCs w:val="22"/>
              </w:rPr>
            </w:pPr>
            <w:r>
              <w:rPr>
                <w:rFonts w:ascii="Calibri" w:hAnsi="Calibri" w:eastAsia="Calibri" w:cs="Calibri"/>
                <w:color w:val="1F1F1F"/>
                <w:sz w:val="16"/>
                <w:szCs w:val="16"/>
              </w:rPr>
              <w:t>Marcha blanca y pruebas de estrés de conectividad postergadas a la segunda fase.</w:t>
            </w:r>
          </w:p>
        </w:tc>
      </w:tr>
      <w:tr w14:paraId="2DEB35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3CB1739E">
            <w:pPr>
              <w:spacing w:before="40" w:after="40"/>
              <w:jc w:val="left"/>
              <w:rPr>
                <w:sz w:val="22"/>
                <w:szCs w:val="22"/>
              </w:rPr>
            </w:pPr>
            <w:r>
              <w:rPr>
                <w:rFonts w:ascii="Calibri" w:hAnsi="Calibri" w:eastAsia="Calibri" w:cs="Calibri"/>
                <w:color w:val="1F1F1F"/>
                <w:sz w:val="16"/>
                <w:szCs w:val="16"/>
              </w:rPr>
              <w:t>Desarrollo de aplicaciones móviles</w:t>
            </w:r>
          </w:p>
        </w:tc>
        <w:tc>
          <w:tcPr>
            <w:tcW w:w="1600" w:type="dxa"/>
            <w:vAlign w:val="top"/>
          </w:tcPr>
          <w:p w14:paraId="1C24785B">
            <w:pPr>
              <w:spacing w:before="40" w:after="40"/>
              <w:jc w:val="left"/>
              <w:rPr>
                <w:sz w:val="22"/>
                <w:szCs w:val="22"/>
              </w:rPr>
            </w:pPr>
            <w:r>
              <w:rPr>
                <w:rFonts w:ascii="Calibri" w:hAnsi="Calibri" w:eastAsia="Calibri" w:cs="Calibri"/>
                <w:color w:val="1F1F1F"/>
                <w:sz w:val="16"/>
                <w:szCs w:val="16"/>
              </w:rPr>
              <w:t>12. Ajustes según retroalimentación de Bomberos.</w:t>
            </w:r>
          </w:p>
        </w:tc>
        <w:tc>
          <w:tcPr>
            <w:tcW w:w="1150" w:type="dxa"/>
            <w:vAlign w:val="top"/>
          </w:tcPr>
          <w:p w14:paraId="5861982A">
            <w:pPr>
              <w:spacing w:before="40" w:after="40"/>
              <w:jc w:val="left"/>
              <w:rPr>
                <w:sz w:val="22"/>
                <w:szCs w:val="22"/>
              </w:rPr>
            </w:pPr>
            <w:r>
              <w:rPr>
                <w:rFonts w:ascii="Calibri" w:hAnsi="Calibri" w:eastAsia="Calibri" w:cs="Calibri"/>
                <w:color w:val="1F1F1F"/>
                <w:sz w:val="16"/>
                <w:szCs w:val="16"/>
              </w:rPr>
              <w:t>Retroalimentación de Bomberos, Flutter.</w:t>
            </w:r>
          </w:p>
        </w:tc>
        <w:tc>
          <w:tcPr>
            <w:tcW w:w="850" w:type="dxa"/>
            <w:vAlign w:val="top"/>
          </w:tcPr>
          <w:p w14:paraId="2A773425">
            <w:pPr>
              <w:spacing w:before="40" w:after="40"/>
              <w:jc w:val="left"/>
              <w:rPr>
                <w:sz w:val="22"/>
                <w:szCs w:val="22"/>
              </w:rPr>
            </w:pPr>
            <w:r>
              <w:rPr>
                <w:rFonts w:ascii="Calibri" w:hAnsi="Calibri" w:eastAsia="Calibri" w:cs="Calibri"/>
                <w:color w:val="1F1F1F"/>
                <w:sz w:val="16"/>
                <w:szCs w:val="16"/>
              </w:rPr>
              <w:t>Semana 12 a 13</w:t>
            </w:r>
          </w:p>
        </w:tc>
        <w:tc>
          <w:tcPr>
            <w:tcW w:w="1000" w:type="dxa"/>
            <w:vAlign w:val="top"/>
          </w:tcPr>
          <w:p w14:paraId="704AC9EC">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4DC9DE58">
            <w:pPr>
              <w:spacing w:before="40" w:after="40"/>
              <w:jc w:val="left"/>
              <w:rPr>
                <w:sz w:val="22"/>
                <w:szCs w:val="22"/>
              </w:rPr>
            </w:pPr>
            <w:r>
              <w:rPr>
                <w:rFonts w:ascii="Calibri" w:hAnsi="Calibri" w:eastAsia="Calibri" w:cs="Calibri"/>
                <w:color w:val="1F1F1F"/>
                <w:sz w:val="16"/>
                <w:szCs w:val="16"/>
              </w:rPr>
              <w:t>Depende de la validación en terreno.</w:t>
            </w:r>
          </w:p>
        </w:tc>
        <w:tc>
          <w:tcPr>
            <w:tcW w:w="1100" w:type="dxa"/>
            <w:vAlign w:val="top"/>
          </w:tcPr>
          <w:p w14:paraId="7655011D">
            <w:pPr>
              <w:spacing w:before="40" w:after="40"/>
              <w:jc w:val="left"/>
              <w:rPr>
                <w:sz w:val="22"/>
                <w:szCs w:val="22"/>
              </w:rPr>
            </w:pPr>
            <w:r>
              <w:rPr>
                <w:rFonts w:ascii="Calibri" w:hAnsi="Calibri" w:eastAsia="Calibri" w:cs="Calibri"/>
                <w:b/>
                <w:bCs/>
                <w:color w:val="1F1F1F"/>
                <w:sz w:val="16"/>
                <w:szCs w:val="16"/>
              </w:rPr>
              <w:t>No iniciado</w:t>
            </w:r>
          </w:p>
        </w:tc>
        <w:tc>
          <w:tcPr>
            <w:tcW w:w="1226" w:type="dxa"/>
            <w:vAlign w:val="top"/>
          </w:tcPr>
          <w:p w14:paraId="6F467EE9">
            <w:pPr>
              <w:spacing w:before="40" w:after="40"/>
              <w:jc w:val="left"/>
              <w:rPr>
                <w:sz w:val="22"/>
                <w:szCs w:val="22"/>
              </w:rPr>
            </w:pPr>
            <w:r>
              <w:rPr>
                <w:rFonts w:ascii="Calibri" w:hAnsi="Calibri" w:eastAsia="Calibri" w:cs="Calibri"/>
                <w:color w:val="1F1F1F"/>
                <w:sz w:val="16"/>
                <w:szCs w:val="16"/>
              </w:rPr>
              <w:t>Sin ajustes.</w:t>
            </w:r>
          </w:p>
        </w:tc>
      </w:tr>
      <w:tr w14:paraId="6B64F3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703D5C75">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6960E25E">
            <w:pPr>
              <w:spacing w:before="40" w:after="40"/>
              <w:jc w:val="left"/>
              <w:rPr>
                <w:sz w:val="22"/>
                <w:szCs w:val="22"/>
              </w:rPr>
            </w:pPr>
            <w:r>
              <w:rPr>
                <w:rFonts w:ascii="Calibri" w:hAnsi="Calibri" w:eastAsia="Calibri" w:cs="Calibri"/>
                <w:color w:val="1F1F1F"/>
                <w:sz w:val="16"/>
                <w:szCs w:val="16"/>
              </w:rPr>
              <w:t>13. Documentación final del proyecto.</w:t>
            </w:r>
          </w:p>
        </w:tc>
        <w:tc>
          <w:tcPr>
            <w:tcW w:w="1150" w:type="dxa"/>
            <w:vAlign w:val="top"/>
          </w:tcPr>
          <w:p w14:paraId="177045B9">
            <w:pPr>
              <w:spacing w:before="40" w:after="40"/>
              <w:jc w:val="left"/>
              <w:rPr>
                <w:sz w:val="22"/>
                <w:szCs w:val="22"/>
              </w:rPr>
            </w:pPr>
            <w:r>
              <w:rPr>
                <w:rFonts w:ascii="Calibri" w:hAnsi="Calibri" w:eastAsia="Calibri" w:cs="Calibri"/>
                <w:color w:val="1F1F1F"/>
                <w:sz w:val="16"/>
                <w:szCs w:val="16"/>
              </w:rPr>
              <w:t>Microsoft Word, repositorio en Drive.</w:t>
            </w:r>
          </w:p>
        </w:tc>
        <w:tc>
          <w:tcPr>
            <w:tcW w:w="850" w:type="dxa"/>
            <w:vAlign w:val="top"/>
          </w:tcPr>
          <w:p w14:paraId="2C69DA9C">
            <w:pPr>
              <w:spacing w:before="40" w:after="40"/>
              <w:jc w:val="left"/>
              <w:rPr>
                <w:sz w:val="22"/>
                <w:szCs w:val="22"/>
              </w:rPr>
            </w:pPr>
            <w:r>
              <w:rPr>
                <w:rFonts w:ascii="Calibri" w:hAnsi="Calibri" w:eastAsia="Calibri" w:cs="Calibri"/>
                <w:color w:val="1F1F1F"/>
                <w:sz w:val="16"/>
                <w:szCs w:val="16"/>
              </w:rPr>
              <w:t>Semana 13 a 14</w:t>
            </w:r>
          </w:p>
        </w:tc>
        <w:tc>
          <w:tcPr>
            <w:tcW w:w="1000" w:type="dxa"/>
            <w:vAlign w:val="top"/>
          </w:tcPr>
          <w:p w14:paraId="2ED4461F">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09ED3079">
            <w:pPr>
              <w:spacing w:before="40" w:after="40"/>
              <w:jc w:val="left"/>
              <w:rPr>
                <w:sz w:val="22"/>
                <w:szCs w:val="22"/>
              </w:rPr>
            </w:pPr>
            <w:r>
              <w:rPr>
                <w:rFonts w:ascii="Calibri" w:hAnsi="Calibri" w:eastAsia="Calibri" w:cs="Calibri"/>
                <w:color w:val="1F1F1F"/>
                <w:sz w:val="16"/>
                <w:szCs w:val="16"/>
              </w:rPr>
              <w:t>Avanzan DAS v1.0, EDT, Product/Sprint Backlog v4.0 y documentación Scrum.</w:t>
            </w:r>
          </w:p>
        </w:tc>
        <w:tc>
          <w:tcPr>
            <w:tcW w:w="1100" w:type="dxa"/>
            <w:vAlign w:val="top"/>
          </w:tcPr>
          <w:p w14:paraId="73354736">
            <w:pPr>
              <w:spacing w:before="40" w:after="40"/>
              <w:jc w:val="left"/>
              <w:rPr>
                <w:sz w:val="22"/>
                <w:szCs w:val="22"/>
              </w:rPr>
            </w:pPr>
            <w:r>
              <w:rPr>
                <w:rFonts w:ascii="Calibri" w:hAnsi="Calibri" w:eastAsia="Calibri" w:cs="Calibri"/>
                <w:b/>
                <w:bCs/>
                <w:color w:val="1F1F1F"/>
                <w:sz w:val="16"/>
                <w:szCs w:val="16"/>
              </w:rPr>
              <w:t>En curso</w:t>
            </w:r>
          </w:p>
        </w:tc>
        <w:tc>
          <w:tcPr>
            <w:tcW w:w="1226" w:type="dxa"/>
            <w:vAlign w:val="top"/>
          </w:tcPr>
          <w:p w14:paraId="5D0F9925">
            <w:pPr>
              <w:spacing w:before="40" w:after="40"/>
              <w:jc w:val="left"/>
              <w:rPr>
                <w:sz w:val="22"/>
                <w:szCs w:val="22"/>
              </w:rPr>
            </w:pPr>
            <w:r>
              <w:rPr>
                <w:rFonts w:ascii="Calibri" w:hAnsi="Calibri" w:eastAsia="Calibri" w:cs="Calibri"/>
                <w:color w:val="1F1F1F"/>
                <w:sz w:val="16"/>
                <w:szCs w:val="16"/>
              </w:rPr>
              <w:t>Sin ajustes.</w:t>
            </w:r>
          </w:p>
        </w:tc>
      </w:tr>
      <w:tr w14:paraId="5F02E9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78A172BE">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335E75A6">
            <w:pPr>
              <w:spacing w:before="40" w:after="40"/>
              <w:jc w:val="left"/>
              <w:rPr>
                <w:sz w:val="22"/>
                <w:szCs w:val="22"/>
              </w:rPr>
            </w:pPr>
            <w:r>
              <w:rPr>
                <w:rFonts w:ascii="Calibri" w:hAnsi="Calibri" w:eastAsia="Calibri" w:cs="Calibri"/>
                <w:color w:val="1F1F1F"/>
                <w:sz w:val="16"/>
                <w:szCs w:val="16"/>
              </w:rPr>
              <w:t>14. Preparación de entrega/presentación.</w:t>
            </w:r>
          </w:p>
        </w:tc>
        <w:tc>
          <w:tcPr>
            <w:tcW w:w="1150" w:type="dxa"/>
            <w:vAlign w:val="top"/>
          </w:tcPr>
          <w:p w14:paraId="7C7B36A5">
            <w:pPr>
              <w:spacing w:before="40" w:after="40"/>
              <w:jc w:val="left"/>
              <w:rPr>
                <w:sz w:val="22"/>
                <w:szCs w:val="22"/>
              </w:rPr>
            </w:pPr>
            <w:r>
              <w:rPr>
                <w:rFonts w:ascii="Calibri" w:hAnsi="Calibri" w:eastAsia="Calibri" w:cs="Calibri"/>
                <w:color w:val="1F1F1F"/>
                <w:sz w:val="16"/>
                <w:szCs w:val="16"/>
              </w:rPr>
              <w:t>Microsoft PowerPoint, documentación final.</w:t>
            </w:r>
          </w:p>
        </w:tc>
        <w:tc>
          <w:tcPr>
            <w:tcW w:w="850" w:type="dxa"/>
            <w:vAlign w:val="top"/>
          </w:tcPr>
          <w:p w14:paraId="1A8631EA">
            <w:pPr>
              <w:spacing w:before="40" w:after="40"/>
              <w:jc w:val="left"/>
              <w:rPr>
                <w:sz w:val="22"/>
                <w:szCs w:val="22"/>
              </w:rPr>
            </w:pPr>
            <w:r>
              <w:rPr>
                <w:rFonts w:ascii="Calibri" w:hAnsi="Calibri" w:eastAsia="Calibri" w:cs="Calibri"/>
                <w:color w:val="1F1F1F"/>
                <w:sz w:val="16"/>
                <w:szCs w:val="16"/>
              </w:rPr>
              <w:t>Semana 14 a 15</w:t>
            </w:r>
          </w:p>
        </w:tc>
        <w:tc>
          <w:tcPr>
            <w:tcW w:w="1000" w:type="dxa"/>
            <w:vAlign w:val="top"/>
          </w:tcPr>
          <w:p w14:paraId="58E844D0">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2485CB50">
            <w:pPr>
              <w:spacing w:before="40" w:after="40"/>
              <w:jc w:val="left"/>
              <w:rPr>
                <w:sz w:val="22"/>
                <w:szCs w:val="22"/>
              </w:rPr>
            </w:pPr>
            <w:r>
              <w:rPr>
                <w:rFonts w:ascii="Calibri" w:hAnsi="Calibri" w:eastAsia="Calibri" w:cs="Calibri"/>
                <w:color w:val="1F1F1F"/>
                <w:sz w:val="16"/>
                <w:szCs w:val="16"/>
              </w:rPr>
              <w:t>Corresponde a la segunda mitad del proyecto.</w:t>
            </w:r>
          </w:p>
        </w:tc>
        <w:tc>
          <w:tcPr>
            <w:tcW w:w="1100" w:type="dxa"/>
            <w:vAlign w:val="top"/>
          </w:tcPr>
          <w:p w14:paraId="43060A5F">
            <w:pPr>
              <w:spacing w:before="40" w:after="40"/>
              <w:jc w:val="left"/>
              <w:rPr>
                <w:sz w:val="22"/>
                <w:szCs w:val="22"/>
              </w:rPr>
            </w:pPr>
            <w:r>
              <w:rPr>
                <w:rFonts w:ascii="Calibri" w:hAnsi="Calibri" w:eastAsia="Calibri" w:cs="Calibri"/>
                <w:b/>
                <w:bCs/>
                <w:color w:val="1F1F1F"/>
                <w:sz w:val="16"/>
                <w:szCs w:val="16"/>
              </w:rPr>
              <w:t>No iniciado</w:t>
            </w:r>
          </w:p>
        </w:tc>
        <w:tc>
          <w:tcPr>
            <w:tcW w:w="1226" w:type="dxa"/>
            <w:vAlign w:val="top"/>
          </w:tcPr>
          <w:p w14:paraId="4975BE21">
            <w:pPr>
              <w:spacing w:before="40" w:after="40"/>
              <w:jc w:val="left"/>
              <w:rPr>
                <w:sz w:val="22"/>
                <w:szCs w:val="22"/>
              </w:rPr>
            </w:pPr>
            <w:r>
              <w:rPr>
                <w:rFonts w:ascii="Calibri" w:hAnsi="Calibri" w:eastAsia="Calibri" w:cs="Calibri"/>
                <w:color w:val="1F1F1F"/>
                <w:sz w:val="16"/>
                <w:szCs w:val="16"/>
              </w:rPr>
              <w:t>Sin ajustes.</w:t>
            </w:r>
          </w:p>
        </w:tc>
      </w:tr>
      <w:tr w14:paraId="238D7A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551BBB63">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45BAE9FE">
            <w:pPr>
              <w:spacing w:before="40" w:after="40"/>
              <w:jc w:val="left"/>
              <w:rPr>
                <w:sz w:val="22"/>
                <w:szCs w:val="22"/>
              </w:rPr>
            </w:pPr>
            <w:r>
              <w:rPr>
                <w:rFonts w:ascii="Calibri" w:hAnsi="Calibri" w:eastAsia="Calibri" w:cs="Calibri"/>
                <w:color w:val="1F1F1F"/>
                <w:sz w:val="16"/>
                <w:szCs w:val="16"/>
              </w:rPr>
              <w:t>15. Entrega final.</w:t>
            </w:r>
          </w:p>
        </w:tc>
        <w:tc>
          <w:tcPr>
            <w:tcW w:w="1150" w:type="dxa"/>
            <w:vAlign w:val="top"/>
          </w:tcPr>
          <w:p w14:paraId="3B107276">
            <w:pPr>
              <w:spacing w:before="40" w:after="40"/>
              <w:jc w:val="left"/>
              <w:rPr>
                <w:sz w:val="22"/>
                <w:szCs w:val="22"/>
              </w:rPr>
            </w:pPr>
            <w:r>
              <w:rPr>
                <w:rFonts w:ascii="Calibri" w:hAnsi="Calibri" w:eastAsia="Calibri" w:cs="Calibri"/>
                <w:color w:val="1F1F1F"/>
                <w:sz w:val="16"/>
                <w:szCs w:val="16"/>
              </w:rPr>
              <w:t>Aplicación, código fuente y documentación.</w:t>
            </w:r>
          </w:p>
        </w:tc>
        <w:tc>
          <w:tcPr>
            <w:tcW w:w="850" w:type="dxa"/>
            <w:vAlign w:val="top"/>
          </w:tcPr>
          <w:p w14:paraId="72E1EBCF">
            <w:pPr>
              <w:spacing w:before="40" w:after="40"/>
              <w:jc w:val="left"/>
              <w:rPr>
                <w:sz w:val="22"/>
                <w:szCs w:val="22"/>
              </w:rPr>
            </w:pPr>
            <w:r>
              <w:rPr>
                <w:rFonts w:ascii="Calibri" w:hAnsi="Calibri" w:eastAsia="Calibri" w:cs="Calibri"/>
                <w:color w:val="1F1F1F"/>
                <w:sz w:val="16"/>
                <w:szCs w:val="16"/>
              </w:rPr>
              <w:t>Semana 15</w:t>
            </w:r>
          </w:p>
        </w:tc>
        <w:tc>
          <w:tcPr>
            <w:tcW w:w="1000" w:type="dxa"/>
            <w:vAlign w:val="top"/>
          </w:tcPr>
          <w:p w14:paraId="2464CEFE">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0E459B49">
            <w:pPr>
              <w:spacing w:before="40" w:after="40"/>
              <w:jc w:val="left"/>
              <w:rPr>
                <w:sz w:val="22"/>
                <w:szCs w:val="22"/>
              </w:rPr>
            </w:pPr>
            <w:r>
              <w:rPr>
                <w:rFonts w:ascii="Calibri" w:hAnsi="Calibri" w:eastAsia="Calibri" w:cs="Calibri"/>
                <w:color w:val="1F1F1F"/>
                <w:sz w:val="16"/>
                <w:szCs w:val="16"/>
              </w:rPr>
              <w:t>Corresponde a la segunda mitad del proyecto.</w:t>
            </w:r>
          </w:p>
        </w:tc>
        <w:tc>
          <w:tcPr>
            <w:tcW w:w="1100" w:type="dxa"/>
            <w:vAlign w:val="top"/>
          </w:tcPr>
          <w:p w14:paraId="3E885939">
            <w:pPr>
              <w:spacing w:before="40" w:after="40"/>
              <w:jc w:val="left"/>
              <w:rPr>
                <w:sz w:val="22"/>
                <w:szCs w:val="22"/>
              </w:rPr>
            </w:pPr>
            <w:r>
              <w:rPr>
                <w:rFonts w:ascii="Calibri" w:hAnsi="Calibri" w:eastAsia="Calibri" w:cs="Calibri"/>
                <w:b/>
                <w:bCs/>
                <w:color w:val="1F1F1F"/>
                <w:sz w:val="16"/>
                <w:szCs w:val="16"/>
              </w:rPr>
              <w:t>No iniciado</w:t>
            </w:r>
          </w:p>
        </w:tc>
        <w:tc>
          <w:tcPr>
            <w:tcW w:w="1226" w:type="dxa"/>
            <w:vAlign w:val="top"/>
          </w:tcPr>
          <w:p w14:paraId="2859DAD7">
            <w:pPr>
              <w:spacing w:before="40" w:after="40"/>
              <w:jc w:val="left"/>
              <w:rPr>
                <w:sz w:val="22"/>
                <w:szCs w:val="22"/>
              </w:rPr>
            </w:pPr>
            <w:r>
              <w:rPr>
                <w:rFonts w:ascii="Calibri" w:hAnsi="Calibri" w:eastAsia="Calibri" w:cs="Calibri"/>
                <w:color w:val="1F1F1F"/>
                <w:sz w:val="16"/>
                <w:szCs w:val="16"/>
              </w:rPr>
              <w:t>Sin ajustes.</w:t>
            </w:r>
          </w:p>
        </w:tc>
      </w:tr>
      <w:tr w14:paraId="79DCB8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69917E68">
            <w:pPr>
              <w:spacing w:before="40" w:after="40"/>
              <w:jc w:val="left"/>
              <w:rPr>
                <w:sz w:val="22"/>
                <w:szCs w:val="22"/>
              </w:rPr>
            </w:pPr>
            <w:r>
              <w:rPr>
                <w:rFonts w:ascii="Calibri" w:hAnsi="Calibri" w:eastAsia="Calibri" w:cs="Calibri"/>
                <w:color w:val="1F1F1F"/>
                <w:sz w:val="16"/>
                <w:szCs w:val="16"/>
              </w:rPr>
              <w:t>Levantamiento y análisis de requerimientos</w:t>
            </w:r>
          </w:p>
        </w:tc>
        <w:tc>
          <w:tcPr>
            <w:tcW w:w="1600" w:type="dxa"/>
            <w:vAlign w:val="top"/>
          </w:tcPr>
          <w:p w14:paraId="7A89D987">
            <w:pPr>
              <w:spacing w:before="40" w:after="40"/>
              <w:jc w:val="left"/>
              <w:rPr>
                <w:sz w:val="22"/>
                <w:szCs w:val="22"/>
              </w:rPr>
            </w:pPr>
            <w:r>
              <w:rPr>
                <w:rFonts w:ascii="Calibri" w:hAnsi="Calibri" w:eastAsia="Calibri" w:cs="Calibri"/>
                <w:color w:val="1F1F1F"/>
                <w:sz w:val="16"/>
                <w:szCs w:val="16"/>
              </w:rPr>
              <w:t>16. Contingencia - Buffer.</w:t>
            </w:r>
          </w:p>
        </w:tc>
        <w:tc>
          <w:tcPr>
            <w:tcW w:w="1150" w:type="dxa"/>
            <w:vAlign w:val="top"/>
          </w:tcPr>
          <w:p w14:paraId="0D7C8FEF">
            <w:pPr>
              <w:spacing w:before="40" w:after="40"/>
              <w:jc w:val="left"/>
              <w:rPr>
                <w:sz w:val="22"/>
                <w:szCs w:val="22"/>
              </w:rPr>
            </w:pPr>
            <w:r>
              <w:rPr>
                <w:rFonts w:ascii="Calibri" w:hAnsi="Calibri" w:eastAsia="Calibri" w:cs="Calibri"/>
                <w:color w:val="1F1F1F"/>
                <w:sz w:val="16"/>
                <w:szCs w:val="16"/>
              </w:rPr>
              <w:t>Horas de holgura del equipo.</w:t>
            </w:r>
          </w:p>
        </w:tc>
        <w:tc>
          <w:tcPr>
            <w:tcW w:w="850" w:type="dxa"/>
            <w:vAlign w:val="top"/>
          </w:tcPr>
          <w:p w14:paraId="1662C71C">
            <w:pPr>
              <w:spacing w:before="40" w:after="40"/>
              <w:jc w:val="left"/>
              <w:rPr>
                <w:sz w:val="22"/>
                <w:szCs w:val="22"/>
              </w:rPr>
            </w:pPr>
            <w:r>
              <w:rPr>
                <w:rFonts w:ascii="Calibri" w:hAnsi="Calibri" w:eastAsia="Calibri" w:cs="Calibri"/>
                <w:color w:val="1F1F1F"/>
                <w:sz w:val="16"/>
                <w:szCs w:val="16"/>
              </w:rPr>
              <w:t>Semanas finales</w:t>
            </w:r>
          </w:p>
        </w:tc>
        <w:tc>
          <w:tcPr>
            <w:tcW w:w="1000" w:type="dxa"/>
            <w:vAlign w:val="top"/>
          </w:tcPr>
          <w:p w14:paraId="3F1FD3D0">
            <w:pPr>
              <w:spacing w:before="40" w:after="40"/>
              <w:jc w:val="left"/>
              <w:rPr>
                <w:sz w:val="22"/>
                <w:szCs w:val="22"/>
              </w:rPr>
            </w:pPr>
            <w:r>
              <w:rPr>
                <w:rFonts w:ascii="Calibri" w:hAnsi="Calibri" w:eastAsia="Calibri" w:cs="Calibri"/>
                <w:color w:val="1F1F1F"/>
                <w:sz w:val="16"/>
                <w:szCs w:val="16"/>
                <w:highlight w:val="yellow"/>
              </w:rPr>
              <w:t>[Por confirmar]</w:t>
            </w:r>
          </w:p>
        </w:tc>
        <w:tc>
          <w:tcPr>
            <w:tcW w:w="1400" w:type="dxa"/>
            <w:vAlign w:val="top"/>
          </w:tcPr>
          <w:p w14:paraId="76D7855A">
            <w:pPr>
              <w:spacing w:before="40" w:after="40"/>
              <w:jc w:val="left"/>
              <w:rPr>
                <w:sz w:val="22"/>
                <w:szCs w:val="22"/>
              </w:rPr>
            </w:pPr>
            <w:r>
              <w:rPr>
                <w:rFonts w:ascii="Calibri" w:hAnsi="Calibri" w:eastAsia="Calibri" w:cs="Calibri"/>
                <w:color w:val="1F1F1F"/>
                <w:sz w:val="16"/>
                <w:szCs w:val="16"/>
              </w:rPr>
              <w:t>Holgura reservada para imprevistos de la segunda fase.</w:t>
            </w:r>
          </w:p>
        </w:tc>
        <w:tc>
          <w:tcPr>
            <w:tcW w:w="1100" w:type="dxa"/>
            <w:vAlign w:val="top"/>
          </w:tcPr>
          <w:p w14:paraId="6CF8827F">
            <w:pPr>
              <w:spacing w:before="40" w:after="40"/>
              <w:jc w:val="left"/>
              <w:rPr>
                <w:sz w:val="22"/>
                <w:szCs w:val="22"/>
              </w:rPr>
            </w:pPr>
            <w:r>
              <w:rPr>
                <w:rFonts w:ascii="Calibri" w:hAnsi="Calibri" w:eastAsia="Calibri" w:cs="Calibri"/>
                <w:b/>
                <w:bCs/>
                <w:color w:val="1F1F1F"/>
                <w:sz w:val="16"/>
                <w:szCs w:val="16"/>
              </w:rPr>
              <w:t>No iniciado</w:t>
            </w:r>
          </w:p>
        </w:tc>
        <w:tc>
          <w:tcPr>
            <w:tcW w:w="1226" w:type="dxa"/>
            <w:vAlign w:val="top"/>
          </w:tcPr>
          <w:p w14:paraId="40807B05">
            <w:pPr>
              <w:spacing w:before="40" w:after="40"/>
              <w:jc w:val="left"/>
              <w:rPr>
                <w:sz w:val="22"/>
                <w:szCs w:val="22"/>
              </w:rPr>
            </w:pPr>
            <w:r>
              <w:rPr>
                <w:rFonts w:ascii="Calibri" w:hAnsi="Calibri" w:eastAsia="Calibri" w:cs="Calibri"/>
                <w:color w:val="1F1F1F"/>
                <w:sz w:val="16"/>
                <w:szCs w:val="16"/>
              </w:rPr>
              <w:t>Sin ajustes.</w:t>
            </w:r>
          </w:p>
        </w:tc>
      </w:tr>
      <w:tr w14:paraId="0FC80B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450" w:type="dxa"/>
            <w:vAlign w:val="top"/>
          </w:tcPr>
          <w:p w14:paraId="72CC8652">
            <w:pPr>
              <w:spacing w:before="40" w:after="40"/>
              <w:jc w:val="left"/>
              <w:rPr>
                <w:sz w:val="22"/>
                <w:szCs w:val="22"/>
              </w:rPr>
            </w:pPr>
            <w:r>
              <w:rPr>
                <w:rFonts w:ascii="Calibri" w:hAnsi="Calibri" w:eastAsia="Calibri" w:cs="Calibri"/>
                <w:color w:val="1F1F1F"/>
                <w:sz w:val="16"/>
                <w:szCs w:val="16"/>
              </w:rPr>
              <w:t>Diseño e implementación de bases de datos relacionales; Desarrollo de aplicaciones móviles</w:t>
            </w:r>
          </w:p>
        </w:tc>
        <w:tc>
          <w:tcPr>
            <w:tcW w:w="1600" w:type="dxa"/>
            <w:vAlign w:val="top"/>
          </w:tcPr>
          <w:p w14:paraId="1D9B027E">
            <w:pPr>
              <w:spacing w:before="40" w:after="40"/>
              <w:jc w:val="left"/>
              <w:rPr>
                <w:sz w:val="22"/>
                <w:szCs w:val="22"/>
              </w:rPr>
            </w:pPr>
            <w:r>
              <w:rPr>
                <w:rFonts w:ascii="Calibri" w:hAnsi="Calibri" w:eastAsia="Calibri" w:cs="Calibri"/>
                <w:color w:val="1F1F1F"/>
                <w:sz w:val="16"/>
                <w:szCs w:val="16"/>
              </w:rPr>
              <w:t>Módulos institucionales: Tesorería (ingresos, gastos, saldo), digitalización y búsqueda de actas, e inventario por carro.</w:t>
            </w:r>
          </w:p>
        </w:tc>
        <w:tc>
          <w:tcPr>
            <w:tcW w:w="1150" w:type="dxa"/>
            <w:vAlign w:val="top"/>
          </w:tcPr>
          <w:p w14:paraId="7EABEC2F">
            <w:pPr>
              <w:spacing w:before="40" w:after="40"/>
              <w:jc w:val="left"/>
              <w:rPr>
                <w:sz w:val="22"/>
                <w:szCs w:val="22"/>
              </w:rPr>
            </w:pPr>
            <w:r>
              <w:rPr>
                <w:rFonts w:ascii="Calibri" w:hAnsi="Calibri" w:eastAsia="Calibri" w:cs="Calibri"/>
                <w:color w:val="1F1F1F"/>
                <w:sz w:val="16"/>
                <w:szCs w:val="16"/>
              </w:rPr>
              <w:t>Flutter, Supabase (RLS), actas y planillas de la Compañía.</w:t>
            </w:r>
          </w:p>
        </w:tc>
        <w:tc>
          <w:tcPr>
            <w:tcW w:w="850" w:type="dxa"/>
            <w:vAlign w:val="top"/>
          </w:tcPr>
          <w:p w14:paraId="4B355680">
            <w:pPr>
              <w:spacing w:before="40" w:after="40"/>
              <w:jc w:val="left"/>
              <w:rPr>
                <w:sz w:val="22"/>
                <w:szCs w:val="22"/>
              </w:rPr>
            </w:pPr>
            <w:r>
              <w:rPr>
                <w:rFonts w:ascii="Calibri" w:hAnsi="Calibri" w:eastAsia="Calibri" w:cs="Calibri"/>
                <w:color w:val="1F1F1F"/>
                <w:sz w:val="16"/>
                <w:szCs w:val="16"/>
              </w:rPr>
              <w:t>Sprints 4 a 6</w:t>
            </w:r>
          </w:p>
        </w:tc>
        <w:tc>
          <w:tcPr>
            <w:tcW w:w="1000" w:type="dxa"/>
            <w:vAlign w:val="top"/>
          </w:tcPr>
          <w:p w14:paraId="7E219C38">
            <w:pPr>
              <w:spacing w:before="40" w:after="40"/>
              <w:jc w:val="left"/>
              <w:rPr>
                <w:sz w:val="22"/>
                <w:szCs w:val="22"/>
              </w:rPr>
            </w:pPr>
            <w:r>
              <w:rPr>
                <w:rFonts w:ascii="Calibri" w:hAnsi="Calibri" w:eastAsia="Calibri" w:cs="Calibri"/>
                <w:color w:val="1F1F1F"/>
                <w:sz w:val="16"/>
                <w:szCs w:val="16"/>
              </w:rPr>
              <w:t>Felipe Caro (Nicolás Núñez, Marco Antilef)</w:t>
            </w:r>
          </w:p>
        </w:tc>
        <w:tc>
          <w:tcPr>
            <w:tcW w:w="1400" w:type="dxa"/>
            <w:vAlign w:val="top"/>
          </w:tcPr>
          <w:p w14:paraId="11CA4A36">
            <w:pPr>
              <w:spacing w:before="40" w:after="40"/>
              <w:jc w:val="left"/>
              <w:rPr>
                <w:sz w:val="22"/>
                <w:szCs w:val="22"/>
              </w:rPr>
            </w:pPr>
            <w:r>
              <w:rPr>
                <w:rFonts w:ascii="Calibri" w:hAnsi="Calibri" w:eastAsia="Calibri" w:cs="Calibri"/>
                <w:color w:val="1F1F1F"/>
                <w:sz w:val="16"/>
                <w:szCs w:val="16"/>
              </w:rPr>
              <w:t>Apoyan el control institucional de Bomberos; Tesorería y Actas están protegidas con RLS.</w:t>
            </w:r>
          </w:p>
        </w:tc>
        <w:tc>
          <w:tcPr>
            <w:tcW w:w="1100" w:type="dxa"/>
            <w:vAlign w:val="top"/>
          </w:tcPr>
          <w:p w14:paraId="5CDA86A9">
            <w:pPr>
              <w:spacing w:before="40" w:after="40"/>
              <w:jc w:val="left"/>
              <w:rPr>
                <w:sz w:val="22"/>
                <w:szCs w:val="22"/>
              </w:rPr>
            </w:pPr>
            <w:r>
              <w:rPr>
                <w:rFonts w:ascii="Calibri" w:hAnsi="Calibri" w:eastAsia="Calibri" w:cs="Calibri"/>
                <w:b/>
                <w:bCs/>
                <w:color w:val="1F1F1F"/>
                <w:sz w:val="16"/>
                <w:szCs w:val="16"/>
              </w:rPr>
              <w:t>Completado</w:t>
            </w:r>
          </w:p>
        </w:tc>
        <w:tc>
          <w:tcPr>
            <w:tcW w:w="1226" w:type="dxa"/>
            <w:vAlign w:val="top"/>
          </w:tcPr>
          <w:p w14:paraId="73668D08">
            <w:pPr>
              <w:spacing w:before="40" w:after="40"/>
              <w:jc w:val="left"/>
              <w:rPr>
                <w:sz w:val="22"/>
                <w:szCs w:val="22"/>
              </w:rPr>
            </w:pPr>
            <w:r>
              <w:rPr>
                <w:rFonts w:ascii="Calibri" w:hAnsi="Calibri" w:eastAsia="Calibri" w:cs="Calibri"/>
                <w:color w:val="1F1F1F"/>
                <w:sz w:val="16"/>
                <w:szCs w:val="16"/>
              </w:rPr>
              <w:t>Actividad incorporada durante la ejecución (no estaba en el plan de la Fase 1).</w:t>
            </w:r>
          </w:p>
        </w:tc>
      </w:tr>
    </w:tbl>
    <w:p w14:paraId="00000059">
      <w:pPr>
        <w:rPr>
          <w:color w:val="595959"/>
          <w:sz w:val="24"/>
          <w:szCs w:val="24"/>
        </w:rPr>
      </w:pPr>
    </w:p>
    <w:tbl>
      <w:tblPr>
        <w:tblStyle w:val="33"/>
        <w:tblW w:w="9498" w:type="dxa"/>
        <w:tblInd w:w="-57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498"/>
      </w:tblGrid>
      <w:tr w14:paraId="387EAB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40" w:hRule="atLeast"/>
        </w:trPr>
        <w:tc>
          <w:tcPr>
            <w:vAlign w:val="center"/>
          </w:tcPr>
          <w:p w14:paraId="0000005A">
            <w:pPr>
              <w:rPr>
                <w:b/>
                <w:bCs/>
                <w:color w:val="1F3864"/>
                <w:sz w:val="28"/>
                <w:szCs w:val="28"/>
              </w:rPr>
            </w:pPr>
            <w:r>
              <w:rPr>
                <w:b/>
                <w:bCs/>
                <w:color w:val="1F3864"/>
                <w:sz w:val="28"/>
                <w:szCs w:val="28"/>
                <w:rtl w:val="0"/>
              </w:rPr>
              <w:t xml:space="preserve">3. Ajustes a partir del monitoreo </w:t>
            </w:r>
          </w:p>
        </w:tc>
      </w:tr>
      <w:tr w14:paraId="2305F7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800" w:hRule="atLeast"/>
        </w:trPr>
        <w:tc>
          <w:tcPr>
            <w:shd w:val="clear" w:color="auto" w:fill="D9E2F3"/>
            <w:vAlign w:val="center"/>
          </w:tcPr>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000005C">
      <w:pPr>
        <w:rPr>
          <w:color w:val="595959"/>
          <w:sz w:val="24"/>
          <w:szCs w:val="24"/>
        </w:rPr>
      </w:pPr>
    </w:p>
    <w:tbl>
      <w:tblPr>
        <w:tblStyle w:val="34"/>
        <w:tblpPr w:leftFromText="180" w:rightFromText="180" w:vertAnchor="text" w:tblpX="-572" w:tblpY="1"/>
        <w:tblW w:w="949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496"/>
      </w:tblGrid>
      <w:tr w14:paraId="49695D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936" w:hRule="atLeast"/>
        </w:trPr>
        <w:tc>
          <w:tcPr>
            <w:vAlign w:val="center"/>
          </w:tcPr>
          <w:p w14:paraId="0000005D">
            <w:pPr>
              <w:jc w:val="both"/>
              <w:rPr>
                <w:rFonts w:ascii="Calibri" w:hAnsi="Calibri" w:eastAsia="Calibri" w:cs="Calibri"/>
                <w:i/>
                <w:iCs/>
                <w:color w:val="548DD4"/>
                <w:sz w:val="20"/>
                <w:szCs w:val="20"/>
              </w:rPr>
            </w:pPr>
            <w:r>
              <w:rPr>
                <w:rFonts w:ascii="Calibri" w:hAnsi="Calibri" w:eastAsia="Calibri" w:cs="Calibri"/>
                <w:color w:val="1F3864"/>
                <w:sz w:val="22"/>
                <w:szCs w:val="22"/>
                <w:rtl w:val="0"/>
              </w:rPr>
              <w:t>Factores que han facilitado y/o dificultado el desarrollo de mi plan de trabajo</w:t>
            </w:r>
            <w:r>
              <w:rPr>
                <w:rFonts w:ascii="Calibri" w:hAnsi="Calibri" w:eastAsia="Calibri" w:cs="Calibri"/>
                <w:color w:val="548DD4"/>
                <w:sz w:val="20"/>
                <w:szCs w:val="20"/>
                <w:rtl w:val="0"/>
              </w:rPr>
              <w:t xml:space="preserve">: </w:t>
            </w:r>
            <w:r>
              <w:rPr>
                <w:rFonts w:ascii="Calibri" w:hAnsi="Calibri" w:eastAsia="Calibri" w:cs="Calibri"/>
                <w:i/>
                <w:iCs/>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Pr>
                <w:rFonts w:ascii="Calibri" w:hAnsi="Calibri" w:eastAsia="Calibri" w:cs="Calibri"/>
                <w:b/>
                <w:bCs/>
                <w:color w:val="1F3864"/>
                <w:sz w:val="22"/>
                <w:szCs w:val="22"/>
                <w:rtl w:val="0"/>
              </w:rPr>
              <w:t xml:space="preserve"> </w:t>
            </w:r>
          </w:p>
          <w:p w14:paraId="2539D350">
            <w:pPr>
              <w:spacing w:before="60" w:after="60" w:line="300" w:lineRule="auto"/>
              <w:jc w:val="both"/>
              <w:rPr>
                <w:sz w:val="22"/>
                <w:szCs w:val="22"/>
              </w:rPr>
            </w:pPr>
            <w:r>
              <w:rPr>
                <w:rFonts w:ascii="Calibri" w:hAnsi="Calibri" w:eastAsia="Calibri" w:cs="Calibri"/>
                <w:b/>
                <w:bCs/>
                <w:color w:val="1F1F1F"/>
                <w:sz w:val="20"/>
                <w:szCs w:val="20"/>
              </w:rPr>
              <w:t>Facilitadores</w:t>
            </w:r>
          </w:p>
          <w:p w14:paraId="392F28AB">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Ritmo de trabajo semanal y seguimiento:</w:t>
            </w:r>
            <w:r>
              <w:rPr>
                <w:rFonts w:ascii="Calibri" w:hAnsi="Calibri" w:eastAsia="Calibri" w:cs="Calibri"/>
                <w:color w:val="1F1F1F"/>
                <w:sz w:val="20"/>
                <w:szCs w:val="20"/>
              </w:rPr>
              <w:t xml:space="preserve"> los Sprints de 5 días hábiles, las reuniones daily sincrónicas (3 veces por semana) y los gráficos Burndown permitieron cumplir el 100% de las horas comprometidas en cada iteración (6 Sprints, 54 horas, 50% de avance).</w:t>
            </w:r>
          </w:p>
          <w:p w14:paraId="21199F50">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Acceso directo a los usuarios:</w:t>
            </w:r>
            <w:r>
              <w:rPr>
                <w:rFonts w:ascii="Calibri" w:hAnsi="Calibri" w:eastAsia="Calibri" w:cs="Calibri"/>
                <w:color w:val="1F1F1F"/>
                <w:sz w:val="20"/>
                <w:szCs w:val="20"/>
              </w:rPr>
              <w:t xml:space="preserve"> la reunión técnica con la Compañía de Bomberos de Villa Alhué permitió validar requerimientos y reevaluar el alcance a tiempo.</w:t>
            </w:r>
          </w:p>
          <w:p w14:paraId="738DFC94">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Decisiones técnicas acertadas:</w:t>
            </w:r>
            <w:r>
              <w:rPr>
                <w:rFonts w:ascii="Calibri" w:hAnsi="Calibri" w:eastAsia="Calibri" w:cs="Calibri"/>
                <w:color w:val="1F1F1F"/>
                <w:sz w:val="20"/>
                <w:szCs w:val="20"/>
              </w:rPr>
              <w:t xml:space="preserve"> PostgreSQL con PostGIS resolvió la búsqueda del grifo más cercano dentro del motor de base de datos, y las políticas RLS de Supabase aseguraron los datos de Tesorería y Actas desde la capa más profunda.</w:t>
            </w:r>
          </w:p>
          <w:p w14:paraId="1A0E87E9">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Documentación temprana:</w:t>
            </w:r>
            <w:r>
              <w:rPr>
                <w:rFonts w:ascii="Calibri" w:hAnsi="Calibri" w:eastAsia="Calibri" w:cs="Calibri"/>
                <w:color w:val="1F1F1F"/>
                <w:sz w:val="20"/>
                <w:szCs w:val="20"/>
              </w:rPr>
              <w:t xml:space="preserve"> el DAS 4+1, la EDT y el Backlog con estimación Fibonacci y priorización MoSCoW mantuvieron coherentes las historias de usuario, la arquitectura y el desarrollo.</w:t>
            </w:r>
          </w:p>
          <w:p w14:paraId="3F1778AE">
            <w:pPr>
              <w:spacing w:before="60" w:after="60" w:line="300" w:lineRule="auto"/>
              <w:jc w:val="both"/>
              <w:rPr>
                <w:sz w:val="22"/>
                <w:szCs w:val="22"/>
              </w:rPr>
            </w:pPr>
            <w:r>
              <w:rPr>
                <w:rFonts w:ascii="Calibri" w:hAnsi="Calibri" w:eastAsia="Calibri" w:cs="Calibri"/>
                <w:b/>
                <w:bCs/>
                <w:color w:val="1F1F1F"/>
                <w:sz w:val="20"/>
                <w:szCs w:val="20"/>
              </w:rPr>
              <w:t>Dificultades y acciones tomadas</w:t>
            </w:r>
          </w:p>
          <w:p w14:paraId="7B767138">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Coordinación insuficiente por chat asincrónico:</w:t>
            </w:r>
            <w:r>
              <w:rPr>
                <w:rFonts w:ascii="Calibri" w:hAnsi="Calibri" w:eastAsia="Calibri" w:cs="Calibri"/>
                <w:color w:val="1F1F1F"/>
                <w:sz w:val="20"/>
                <w:szCs w:val="20"/>
              </w:rPr>
              <w:t xml:space="preserve"> se incorporaron reuniones daily sincrónicas 3 veces por semana y se pasó a Sprints semanales con una carga supuesta de 10 a 14 horas semanales del equipo.</w:t>
            </w:r>
          </w:p>
          <w:p w14:paraId="46147C2B">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Falta de convenios con el APR local (US-03):</w:t>
            </w:r>
            <w:r>
              <w:rPr>
                <w:rFonts w:ascii="Calibri" w:hAnsi="Calibri" w:eastAsia="Calibri" w:cs="Calibri"/>
                <w:color w:val="1F1F1F"/>
                <w:sz w:val="20"/>
                <w:szCs w:val="20"/>
              </w:rPr>
              <w:t xml:space="preserve"> sin autorización formal no se puede garantizar la confiabilidad de los datos de sus grifos, por lo que la historia se descartó para Alhué.</w:t>
            </w:r>
          </w:p>
          <w:p w14:paraId="3F7DA4B3">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Alcance que excedía lo esencial (US-05):</w:t>
            </w:r>
            <w:r>
              <w:rPr>
                <w:rFonts w:ascii="Calibri" w:hAnsi="Calibri" w:eastAsia="Calibri" w:cs="Calibri"/>
                <w:color w:val="1F1F1F"/>
                <w:sz w:val="20"/>
                <w:szCs w:val="20"/>
              </w:rPr>
              <w:t xml:space="preserve"> se reevaluó con Bomberos y se descartó el registro de litros extraídos, para concentrar el esfuerzo en funciones de atención inmediata.</w:t>
            </w:r>
          </w:p>
          <w:p w14:paraId="3DD0AC10">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Complejidad técnica de la sincronización offline:</w:t>
            </w:r>
            <w:r>
              <w:rPr>
                <w:rFonts w:ascii="Calibri" w:hAnsi="Calibri" w:eastAsia="Calibri" w:cs="Calibri"/>
                <w:color w:val="1F1F1F"/>
                <w:sz w:val="20"/>
                <w:szCs w:val="20"/>
              </w:rPr>
              <w:t xml:space="preserve"> se postergó a la segunda fase y se priorizó un producto estable al 50% de avance. Se abordará una vez estabilizados los módulos actuales, en incrementos pequeños y con validación en cada Sprint.</w:t>
            </w:r>
          </w:p>
        </w:tc>
      </w:tr>
    </w:tbl>
    <w:p w14:paraId="00000063">
      <w:pPr>
        <w:rPr>
          <w:color w:val="595959"/>
          <w:sz w:val="24"/>
          <w:szCs w:val="24"/>
        </w:rPr>
      </w:pPr>
    </w:p>
    <w:tbl>
      <w:tblPr>
        <w:tblStyle w:val="35"/>
        <w:tblpPr w:leftFromText="180" w:rightFromText="180" w:vertAnchor="text" w:tblpX="-572" w:tblpY="107"/>
        <w:tblW w:w="9493"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493"/>
      </w:tblGrid>
      <w:tr w14:paraId="64498E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936" w:hRule="atLeast"/>
        </w:trPr>
        <w:tc>
          <w:tcPr>
            <w:vAlign w:val="center"/>
          </w:tcPr>
          <w:p w14:paraId="00000064">
            <w:pPr>
              <w:jc w:val="both"/>
              <w:rPr>
                <w:rFonts w:ascii="Calibri" w:hAnsi="Calibri" w:eastAsia="Calibri" w:cs="Calibri"/>
                <w:i/>
                <w:iCs/>
                <w:color w:val="548DD4"/>
                <w:sz w:val="20"/>
                <w:szCs w:val="20"/>
              </w:rPr>
            </w:pPr>
            <w:r>
              <w:rPr>
                <w:rFonts w:ascii="Calibri" w:hAnsi="Calibri" w:eastAsia="Calibri" w:cs="Calibri"/>
                <w:color w:val="1F3864"/>
                <w:sz w:val="22"/>
                <w:szCs w:val="22"/>
                <w:rtl w:val="0"/>
              </w:rPr>
              <w:t xml:space="preserve">Actividades ajustadas o eliminadas: </w:t>
            </w:r>
            <w:r>
              <w:rPr>
                <w:rFonts w:ascii="Calibri" w:hAnsi="Calibri" w:eastAsia="Calibri" w:cs="Calibri"/>
                <w:i/>
                <w:iCs/>
                <w:color w:val="548DD4"/>
                <w:sz w:val="20"/>
                <w:szCs w:val="20"/>
                <w:rtl w:val="0"/>
              </w:rPr>
              <w:t xml:space="preserve">Señalar los ajustes que realizaste a tu plan de trabajo o actividades que eliminaste y, justifica por qué lo hiciste. </w:t>
            </w:r>
            <w:r>
              <w:rPr>
                <w:sz w:val="22"/>
                <w:szCs w:val="22"/>
                <w:rtl w:val="0"/>
              </w:rPr>
              <w:t xml:space="preserve"> </w:t>
            </w:r>
            <w:r>
              <w:rPr>
                <w:rFonts w:ascii="Calibri" w:hAnsi="Calibri" w:eastAsia="Calibri" w:cs="Calibri"/>
                <w:i/>
                <w:iCs/>
                <w:color w:val="548DD4"/>
                <w:sz w:val="20"/>
                <w:szCs w:val="20"/>
                <w:rtl w:val="0"/>
              </w:rPr>
              <w:t>En el caso de que tu plan de trabajo no haya requerido ni requiera ajustes, justifica esta decisión a partir de los facilitadores que te han permitido desarrollarlo como fue planeado.</w:t>
            </w:r>
          </w:p>
          <w:p w14:paraId="2145EA3A">
            <w:pPr>
              <w:spacing w:before="60" w:after="60" w:line="300" w:lineRule="auto"/>
              <w:jc w:val="both"/>
              <w:rPr>
                <w:sz w:val="22"/>
                <w:szCs w:val="22"/>
              </w:rPr>
            </w:pPr>
            <w:r>
              <w:rPr>
                <w:rFonts w:ascii="Calibri" w:hAnsi="Calibri" w:eastAsia="Calibri" w:cs="Calibri"/>
                <w:color w:val="1F1F1F"/>
                <w:sz w:val="20"/>
                <w:szCs w:val="20"/>
              </w:rPr>
              <w:t>En el plan de trabajo se realizaron los siguientes ajustes, todos reflejados en el Product Backlog y Sprint Backlog v4.0 (13 Historias de Usuario y 5 Tareas Técnicas):</w:t>
            </w:r>
          </w:p>
          <w:p w14:paraId="11D0A77A">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US-03 (Diferenciación Cooperativa vs. APR), eliminada:</w:t>
            </w:r>
            <w:r>
              <w:rPr>
                <w:rFonts w:ascii="Calibri" w:hAnsi="Calibri" w:eastAsia="Calibri" w:cs="Calibri"/>
                <w:color w:val="1F1F1F"/>
                <w:sz w:val="20"/>
                <w:szCs w:val="20"/>
              </w:rPr>
              <w:t xml:space="preserve"> no existen convenios formales con el APR de Alhué que autoricen el uso de sus datos y garanticen su confiabilidad. Mantenerla ponía en riesgo la calidad de la información mostrada a los bomberos.</w:t>
            </w:r>
          </w:p>
          <w:p w14:paraId="4BB93A90">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US-05 (Registro de litros extraídos), eliminada:</w:t>
            </w:r>
            <w:r>
              <w:rPr>
                <w:rFonts w:ascii="Calibri" w:hAnsi="Calibri" w:eastAsia="Calibri" w:cs="Calibri"/>
                <w:color w:val="1F1F1F"/>
                <w:sz w:val="20"/>
                <w:szCs w:val="20"/>
              </w:rPr>
              <w:t xml:space="preserve"> tras reevaluarla con Bomberos, no es indispensable para la atención inmediata de emergencias. Se liberaron horas para módulos de mayor valor operativo, como Tesorería, Actas e Inventario.</w:t>
            </w:r>
          </w:p>
          <w:p w14:paraId="4086DFB4">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Replanificación de Sprints (Backlog v4.0):</w:t>
            </w:r>
            <w:r>
              <w:rPr>
                <w:rFonts w:ascii="Calibri" w:hAnsi="Calibri" w:eastAsia="Calibri" w:cs="Calibri"/>
                <w:color w:val="1F1F1F"/>
                <w:sz w:val="20"/>
                <w:szCs w:val="20"/>
              </w:rPr>
              <w:t xml:space="preserve"> se postergaron a la segunda fase el motor de sincronización offline, las pruebas de estrés de conectividad y la marcha blanca con credenciales definitivas, para asegurar un producto estable al 50% de avance.</w:t>
            </w:r>
          </w:p>
          <w:p w14:paraId="10ED9006">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Módulos incorporados al plan:</w:t>
            </w:r>
            <w:r>
              <w:rPr>
                <w:rFonts w:ascii="Calibri" w:hAnsi="Calibri" w:eastAsia="Calibri" w:cs="Calibri"/>
                <w:color w:val="1F1F1F"/>
                <w:sz w:val="20"/>
                <w:szCs w:val="20"/>
              </w:rPr>
              <w:t xml:space="preserve"> Tesorería, digitalización de actas e inventario por carro no estaban en el plan de la Fase 1; se agregaron como actividad para dar respuesta a necesidades institucionales de Bomberos.</w:t>
            </w:r>
          </w:p>
          <w:p w14:paraId="7B14FDC3">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Ajustes metodológicos:</w:t>
            </w:r>
            <w:r>
              <w:rPr>
                <w:rFonts w:ascii="Calibri" w:hAnsi="Calibri" w:eastAsia="Calibri" w:cs="Calibri"/>
                <w:color w:val="1F1F1F"/>
                <w:sz w:val="20"/>
                <w:szCs w:val="20"/>
              </w:rPr>
              <w:t xml:space="preserve"> Sprints semanales de 5 días hábiles y reuniones daily sincrónicas 3 veces por semana, para sustituir la coordinación asincrónica por chat. Todos estos cambios se justificaron formalmente para mantener la línea base del proyecto.</w:t>
            </w:r>
          </w:p>
        </w:tc>
      </w:tr>
    </w:tbl>
    <w:p w14:paraId="0000006C">
      <w:pPr>
        <w:spacing w:after="0" w:line="240" w:lineRule="auto"/>
        <w:jc w:val="both"/>
        <w:rPr>
          <w:rFonts w:ascii="Calibri" w:hAnsi="Calibri" w:eastAsia="Calibri" w:cs="Calibri"/>
          <w:i/>
          <w:iCs/>
          <w:color w:val="548DD4"/>
          <w:sz w:val="20"/>
          <w:szCs w:val="20"/>
        </w:rPr>
      </w:pPr>
    </w:p>
    <w:p w14:paraId="0000006D">
      <w:pPr>
        <w:spacing w:after="0" w:line="240" w:lineRule="auto"/>
        <w:jc w:val="both"/>
        <w:rPr>
          <w:rFonts w:ascii="Calibri" w:hAnsi="Calibri" w:eastAsia="Calibri" w:cs="Calibri"/>
          <w:i/>
          <w:iCs/>
          <w:color w:val="548DD4"/>
          <w:sz w:val="20"/>
          <w:szCs w:val="20"/>
        </w:rPr>
      </w:pPr>
    </w:p>
    <w:tbl>
      <w:tblPr>
        <w:tblStyle w:val="36"/>
        <w:tblW w:w="9498" w:type="dxa"/>
        <w:tblInd w:w="-57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498"/>
      </w:tblGrid>
      <w:tr w14:paraId="2E8901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966" w:hRule="atLeast"/>
        </w:trPr>
        <w:tc>
          <w:tcPr>
            <w:vAlign w:val="center"/>
          </w:tcPr>
          <w:p w14:paraId="0000006E">
            <w:pPr>
              <w:jc w:val="both"/>
              <w:rPr>
                <w:rFonts w:ascii="Calibri" w:hAnsi="Calibri" w:eastAsia="Calibri" w:cs="Calibri"/>
                <w:i/>
                <w:iCs/>
                <w:color w:val="548DD4"/>
                <w:sz w:val="20"/>
                <w:szCs w:val="20"/>
              </w:rPr>
            </w:pPr>
            <w:r>
              <w:rPr>
                <w:rFonts w:ascii="Calibri" w:hAnsi="Calibri" w:eastAsia="Calibri" w:cs="Calibri"/>
                <w:color w:val="1F3864"/>
                <w:sz w:val="22"/>
                <w:szCs w:val="22"/>
                <w:rtl w:val="0"/>
              </w:rPr>
              <w:t>Actividades que no has iniciado o están retrasadas:</w:t>
            </w:r>
            <w:r>
              <w:rPr>
                <w:rFonts w:ascii="Calibri" w:hAnsi="Calibri" w:eastAsia="Calibri" w:cs="Calibri"/>
                <w:i/>
                <w:iCs/>
                <w:color w:val="548DD4"/>
                <w:sz w:val="20"/>
                <w:szCs w:val="20"/>
                <w:rtl w:val="0"/>
              </w:rPr>
              <w:t xml:space="preserve"> En caso de que </w:t>
            </w:r>
            <w:r>
              <w:rPr>
                <w:rFonts w:ascii="Calibri" w:hAnsi="Calibri" w:eastAsia="Calibri" w:cs="Calibri"/>
                <w:b/>
                <w:bCs/>
                <w:i/>
                <w:iCs/>
                <w:color w:val="548DD4"/>
                <w:sz w:val="20"/>
                <w:szCs w:val="20"/>
                <w:rtl w:val="0"/>
              </w:rPr>
              <w:t>no hayas iniciado actividades o estén retrasadas</w:t>
            </w:r>
            <w:r>
              <w:rPr>
                <w:rFonts w:ascii="Calibri" w:hAnsi="Calibri" w:eastAsia="Calibri" w:cs="Calibri"/>
                <w:i/>
                <w:iCs/>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14:paraId="07E5B40E">
            <w:pPr>
              <w:spacing w:before="60" w:after="60" w:line="300" w:lineRule="auto"/>
              <w:jc w:val="both"/>
              <w:rPr>
                <w:sz w:val="22"/>
                <w:szCs w:val="22"/>
              </w:rPr>
            </w:pPr>
            <w:r>
              <w:rPr>
                <w:rFonts w:ascii="Calibri" w:hAnsi="Calibri" w:eastAsia="Calibri" w:cs="Calibri"/>
                <w:color w:val="1F1F1F"/>
                <w:sz w:val="20"/>
                <w:szCs w:val="20"/>
              </w:rPr>
              <w:t xml:space="preserve">Ninguna actividad planificada para estos 6 Sprints presenta retraso: todas se completaron dentro de su iteración. Las actividades </w:t>
            </w:r>
            <w:r>
              <w:rPr>
                <w:rFonts w:ascii="Calibri" w:hAnsi="Calibri" w:eastAsia="Calibri" w:cs="Calibri"/>
                <w:b/>
                <w:bCs/>
                <w:color w:val="1F1F1F"/>
                <w:sz w:val="20"/>
                <w:szCs w:val="20"/>
              </w:rPr>
              <w:t>no iniciadas</w:t>
            </w:r>
            <w:r>
              <w:rPr>
                <w:rFonts w:ascii="Calibri" w:hAnsi="Calibri" w:eastAsia="Calibri" w:cs="Calibri"/>
                <w:color w:val="1F1F1F"/>
                <w:sz w:val="20"/>
                <w:szCs w:val="20"/>
              </w:rPr>
              <w:t xml:space="preserve"> son las que se postergaron de forma deliberada a la segunda fase, además de las que según la Carta Gantt corresponden a la segunda mitad (ajustes por retroalimentación, preparación de la entrega, entrega final y buffer). Las postergadas son:</w:t>
            </w:r>
          </w:p>
          <w:p w14:paraId="5E8FDDD2">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Motor de sincronización offline y pruebas de estrés de conectividad:</w:t>
            </w:r>
            <w:r>
              <w:rPr>
                <w:rFonts w:ascii="Calibri" w:hAnsi="Calibri" w:eastAsia="Calibri" w:cs="Calibri"/>
                <w:color w:val="1F1F1F"/>
                <w:sz w:val="20"/>
                <w:szCs w:val="20"/>
              </w:rPr>
              <w:t xml:space="preserve"> se postergaron porque dependen de que los módulos de grifos, Tesorería, Actas e Inventario estén estables, y porque su complejidad pondría en riesgo la entrega del avance del 50%. Estrategia: iniciarlas al comienzo de la segunda fase, comenzando por el almacenamiento local de consultas críticas (por ejemplo, grifos cercanos) y luego la sincronización. Las pruebas de conectividad se harán de forma escalonada.</w:t>
            </w:r>
          </w:p>
          <w:p w14:paraId="14762344">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Marcha blanca con credenciales de prueba definitivas:</w:t>
            </w:r>
            <w:r>
              <w:rPr>
                <w:rFonts w:ascii="Calibri" w:hAnsi="Calibri" w:eastAsia="Calibri" w:cs="Calibri"/>
                <w:color w:val="1F1F1F"/>
                <w:sz w:val="20"/>
                <w:szCs w:val="20"/>
              </w:rPr>
              <w:t xml:space="preserve"> depende de las credenciales definitivas y de tener cerrado el módulo offline. Estrategia: coordinarla con anticipación con la Compañía de Bomberos y programarla en los últimos Sprints, con tiempo para corregir hallazgos.</w:t>
            </w:r>
          </w:p>
          <w:p w14:paraId="451D631C">
            <w:pPr>
              <w:numPr>
                <w:ilvl w:val="0"/>
                <w:numId w:val="1"/>
              </w:numPr>
              <w:spacing w:before="40" w:after="40" w:line="300" w:lineRule="auto"/>
              <w:ind w:left="720" w:hanging="360"/>
              <w:jc w:val="both"/>
              <w:rPr>
                <w:sz w:val="22"/>
                <w:szCs w:val="22"/>
              </w:rPr>
            </w:pPr>
            <w:r>
              <w:rPr>
                <w:rFonts w:ascii="Calibri" w:hAnsi="Calibri" w:eastAsia="Calibri" w:cs="Calibri"/>
                <w:b/>
                <w:bCs/>
                <w:color w:val="1F1F1F"/>
                <w:sz w:val="20"/>
                <w:szCs w:val="20"/>
              </w:rPr>
              <w:t>Control del plan:</w:t>
            </w:r>
            <w:r>
              <w:rPr>
                <w:rFonts w:ascii="Calibri" w:hAnsi="Calibri" w:eastAsia="Calibri" w:cs="Calibri"/>
                <w:color w:val="1F1F1F"/>
                <w:sz w:val="20"/>
                <w:szCs w:val="20"/>
              </w:rPr>
              <w:t xml:space="preserve"> se priorizarán según MoSCoW, se reservará holgura en los Sprints y se mantendrá el seguimiento con dailies y Burndown para detectar cualquier desviación a tiempo.</w:t>
            </w:r>
          </w:p>
        </w:tc>
      </w:tr>
    </w:tbl>
    <w:p w14:paraId="00000076"/>
    <w:sectPr>
      <w:headerReference r:id="rId5" w:type="default"/>
      <w:pgSz w:w="11906" w:h="16838"/>
      <w:pgMar w:top="1417" w:right="1701" w:bottom="1417"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829EC19-9519-4D85-973D-7D76FBF26CAC}"/>
  </w:font>
  <w:font w:name="Courier New">
    <w:panose1 w:val="02070309020205020404"/>
    <w:charset w:val="00"/>
    <w:family w:val="modern"/>
    <w:pitch w:val="default"/>
    <w:sig w:usb0="E0002EFF" w:usb1="C0007843" w:usb2="00000009" w:usb3="00000000" w:csb0="400001FF" w:csb1="FFFF0000"/>
    <w:embedRegular r:id="rId2" w:fontKey="{89A84A21-A724-4B67-A5E6-A419A6E6DE52}"/>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A9E8ED16-D5DD-428B-8CE4-0CEB11A96473}"/>
  </w:font>
  <w:font w:name="Calibri">
    <w:panose1 w:val="020F0502020204030204"/>
    <w:charset w:val="86"/>
    <w:family w:val="swiss"/>
    <w:pitch w:val="default"/>
    <w:sig w:usb0="E4002EFF" w:usb1="C200247B" w:usb2="00000009" w:usb3="00000000" w:csb0="200001FF" w:csb1="00000000"/>
    <w:embedRegular r:id="rId4" w:fontKey="{88DF3CCD-89AE-4271-8D16-100898717869}"/>
  </w:font>
  <w:font w:name="Calibri Light">
    <w:panose1 w:val="020F0302020204030204"/>
    <w:charset w:val="00"/>
    <w:family w:val="auto"/>
    <w:pitch w:val="default"/>
    <w:sig w:usb0="E4002EFF" w:usb1="C200247B" w:usb2="00000009" w:usb3="00000000" w:csb0="200001FF" w:csb1="00000000"/>
    <w:embedRegular r:id="rId5" w:fontKey="{B7224647-E017-44D5-82A7-F42BED465BD3}"/>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6" w:fontKey="{FDFB0F6C-EFD8-4A57-ABEE-C2F156F6813F}"/>
  </w:font>
  <w:font w:name="Georgia">
    <w:panose1 w:val="02040502050405020303"/>
    <w:charset w:val="00"/>
    <w:family w:val="auto"/>
    <w:pitch w:val="default"/>
    <w:sig w:usb0="00000287" w:usb1="00000000" w:usb2="00000000" w:usb3="00000000" w:csb0="2000009F" w:csb1="00000000"/>
    <w:embedRegular r:id="rId7" w:fontKey="{E0CF6EE8-C2CE-4F07-846D-8942BBE96BD8}"/>
  </w:font>
  <w:font w:name="Roboto">
    <w:panose1 w:val="02000000000000000000"/>
    <w:charset w:val="00"/>
    <w:family w:val="auto"/>
    <w:pitch w:val="default"/>
    <w:sig w:usb0="E00002FF" w:usb1="5000205B" w:usb2="00000020" w:usb3="00000000" w:csb0="2000019F" w:csb1="00000000"/>
    <w:embedRegular r:id="rId8" w:fontKey="{2A8C2FD7-D53B-46A5-81CD-87D05CD18B74}"/>
  </w:font>
  <w:font w:name="Century Gothic">
    <w:panose1 w:val="020B0502020202020204"/>
    <w:charset w:val="00"/>
    <w:family w:val="auto"/>
    <w:pitch w:val="default"/>
    <w:sig w:usb0="00000287" w:usb1="00000000" w:usb2="00000000" w:usb3="00000000" w:csb0="2000009F" w:csb1="DFD70000"/>
    <w:embedRegular r:id="rId9" w:fontKey="{7728B720-B5A8-473D-9127-CFEE561FB42E}"/>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embedRegular r:id="rId10" w:fontKey="{3536F667-E9DA-48C5-82BB-2AD84F10653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Pr>
          <w:vertAlign w:val="superscript"/>
        </w:rPr>
        <w:footnoteRef/>
      </w:r>
      <w:r>
        <w:rPr>
          <w:rFonts w:ascii="Calibri" w:hAnsi="Calibri" w:eastAsia="Calibri" w:cs="Calibri"/>
          <w:b w:val="0"/>
          <w:bCs w:val="0"/>
          <w:i w:val="0"/>
          <w:iCs w:val="0"/>
          <w:smallCaps w:val="0"/>
          <w:strike w:val="0"/>
          <w:color w:val="595959"/>
          <w:sz w:val="20"/>
          <w:szCs w:val="20"/>
          <w:u w:val="none"/>
          <w:shd w:val="clear" w:fill="auto"/>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p>
  <w:tbl>
    <w:tblPr>
      <w:tblStyle w:val="37"/>
      <w:tblW w:w="10170"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54"/>
      <w:gridCol w:w="4216"/>
    </w:tblGrid>
    <w:tr w14:paraId="5E35C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Borders>
            <w:top w:val="nil"/>
            <w:left w:val="nil"/>
            <w:bottom w:val="nil"/>
            <w:right w:val="nil"/>
          </w:tcBorders>
        </w:tcPr>
        <w:p w14:paraId="00000079">
          <w:pPr>
            <w:spacing w:after="0"/>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 xml:space="preserve">Guía Estudiante - Desarrollo Proyecto APT </w:t>
          </w:r>
        </w:p>
        <w:p w14:paraId="0000007A">
          <w:pPr>
            <w:spacing w:after="0"/>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tl w:val="0"/>
            </w:rPr>
            <w:t>Fase 2</w:t>
          </w:r>
        </w:p>
      </w:tc>
      <w:tc>
        <w:tcPr>
          <w:tcBorders>
            <w:top w:val="nil"/>
            <w:left w:val="nil"/>
            <w:bottom w:val="nil"/>
            <w:right w:val="nil"/>
          </w:tcBorders>
        </w:tcPr>
        <w:p w14:paraId="0000007B">
          <w:pPr>
            <w:jc w:val="center"/>
            <w:rPr>
              <w:rFonts w:ascii="Century Gothic" w:hAnsi="Century Gothic" w:eastAsia="Century Gothic" w:cs="Century Gothic"/>
              <w:b/>
              <w:bCs/>
              <w:sz w:val="30"/>
              <w:szCs w:val="30"/>
            </w:rPr>
          </w:pPr>
          <w:r>
            <w:rPr>
              <w:sz w:val="22"/>
              <w:szCs w:val="22"/>
            </w:rPr>
            <w:drawing>
              <wp:inline distT="0" distB="0" distL="0" distR="0">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29"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pic:spPr>
                    </pic:pic>
                  </a:graphicData>
                </a:graphic>
              </wp:inline>
            </w:drawing>
          </w:r>
        </w:p>
      </w:tc>
    </w:tr>
  </w:tbl>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1440" w:hanging="360"/>
      </w:pPr>
      <w:rPr>
        <w:rFonts w:ascii="Roboto" w:hAnsi="Roboto" w:eastAsia="Roboto" w:cs="Roboto"/>
        <w:color w:val="1F1F1F"/>
        <w:sz w:val="22"/>
        <w:szCs w:val="22"/>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rFonts w:ascii="Roboto" w:hAnsi="Roboto" w:eastAsia="Roboto" w:cs="Roboto"/>
        <w:color w:val="1F1F1F"/>
        <w:sz w:val="22"/>
        <w:szCs w:val="22"/>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Roboto" w:hAnsi="Roboto" w:eastAsia="Roboto" w:cs="Roboto"/>
        <w:color w:val="1F1F1F"/>
        <w:sz w:val="22"/>
        <w:szCs w:val="22"/>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rFonts w:ascii="Roboto" w:hAnsi="Roboto" w:eastAsia="Roboto" w:cs="Roboto"/>
        <w:color w:val="1F1F1F"/>
        <w:sz w:val="22"/>
        <w:szCs w:val="22"/>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Roboto" w:hAnsi="Roboto" w:eastAsia="Roboto" w:cs="Roboto"/>
        <w:color w:val="1F1F1F"/>
        <w:sz w:val="22"/>
        <w:szCs w:val="22"/>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4"/>
      <w:numFmt w:val="decimal"/>
      <w:lvlText w:val="%1."/>
      <w:lvlJc w:val="left"/>
      <w:pPr>
        <w:ind w:left="720" w:hanging="360"/>
      </w:pPr>
      <w:rPr>
        <w:rFonts w:ascii="Roboto" w:hAnsi="Roboto" w:eastAsia="Roboto" w:cs="Roboto"/>
        <w:color w:val="1F1F1F"/>
        <w:sz w:val="22"/>
        <w:szCs w:val="22"/>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1440" w:hanging="360"/>
      </w:pPr>
      <w:rPr>
        <w:rFonts w:ascii="Roboto" w:hAnsi="Roboto" w:eastAsia="Roboto" w:cs="Roboto"/>
        <w:color w:val="1F1F1F"/>
        <w:sz w:val="22"/>
        <w:szCs w:val="22"/>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25B654F3"/>
    <w:multiLevelType w:val="multilevel"/>
    <w:tmpl w:val="25B654F3"/>
    <w:lvl w:ilvl="0" w:tentative="0">
      <w:start w:val="3"/>
      <w:numFmt w:val="decimal"/>
      <w:lvlText w:val="%1."/>
      <w:lvlJc w:val="left"/>
      <w:pPr>
        <w:ind w:left="720" w:hanging="360"/>
      </w:pPr>
      <w:rPr>
        <w:rFonts w:ascii="Roboto" w:hAnsi="Roboto" w:eastAsia="Roboto" w:cs="Roboto"/>
        <w:color w:val="1F1F1F"/>
        <w:sz w:val="22"/>
        <w:szCs w:val="22"/>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rFonts w:ascii="Roboto" w:hAnsi="Roboto" w:eastAsia="Roboto" w:cs="Roboto"/>
        <w:color w:val="1F1F1F"/>
        <w:sz w:val="22"/>
        <w:szCs w:val="22"/>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Roboto" w:hAnsi="Roboto" w:eastAsia="Roboto" w:cs="Roboto"/>
        <w:color w:val="1F1F1F"/>
        <w:sz w:val="22"/>
        <w:szCs w:val="22"/>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2183CF9"/>
    <w:multiLevelType w:val="multilevel"/>
    <w:tmpl w:val="72183CF9"/>
    <w:lvl w:ilvl="0" w:tentative="0">
      <w:start w:val="1"/>
      <w:numFmt w:val="bullet"/>
      <w:lvlText w:val="●"/>
      <w:lvlJc w:val="left"/>
      <w:pPr>
        <w:ind w:left="1440" w:hanging="360"/>
      </w:pPr>
      <w:rPr>
        <w:rFonts w:ascii="Roboto" w:hAnsi="Roboto" w:eastAsia="Roboto" w:cs="Roboto"/>
        <w:color w:val="1F1F1F"/>
        <w:sz w:val="22"/>
        <w:szCs w:val="22"/>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2"/>
    <w:footnote w:id="3"/>
  </w:footnotePr>
  <w:endnotePr>
    <w:endnote w:id="0"/>
    <w:endnote w:id="1"/>
  </w:endnotePr>
  <w:compat>
    <w:compatSetting w:name="compatibilityMode" w:uri="http://schemas.microsoft.com/office/word" w:val="15"/>
  </w:compat>
  <w:rsids>
    <w:rsidRoot w:val="00000000"/>
    <w:rsid w:val="6B1C7C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iPriority="99"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39" w:semiHidden="0" w:name="Table Grid"/>
    <w:lsdException w:unhideWhenUsed="0" w:uiPriority="0" w:semiHidden="0" w:name="Table Theme"/>
  </w:latentStyles>
  <w:style w:type="paragraph" w:default="1" w:styleId="1">
    <w:name w:val="Normal"/>
    <w:qFormat/>
    <w:uiPriority w:val="0"/>
    <w:pPr>
      <w:spacing w:after="160" w:line="259" w:lineRule="auto"/>
    </w:pPr>
    <w:rPr>
      <w:rFonts w:ascii="Calibri" w:hAnsi="Calibri" w:eastAsia="Calibri" w:cs="Calibri"/>
      <w:sz w:val="22"/>
      <w:szCs w:val="22"/>
      <w:lang w:val="es-CL"/>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spacing w:before="40" w:after="0"/>
    </w:pPr>
    <w:rPr>
      <w:rFonts w:ascii="Calibri" w:hAnsi="Calibri" w:eastAsia="Calibri" w:cs="Calibri"/>
      <w:color w:val="1F3863"/>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footnote reference"/>
    <w:basedOn w:val="8"/>
    <w:unhideWhenUsed/>
    <w:uiPriority w:val="0"/>
    <w:rPr>
      <w:vertAlign w:val="superscript"/>
    </w:rPr>
  </w:style>
  <w:style w:type="paragraph" w:styleId="12">
    <w:name w:val="footnote text"/>
    <w:basedOn w:val="1"/>
    <w:link w:val="24"/>
    <w:semiHidden/>
    <w:unhideWhenUsed/>
    <w:qFormat/>
    <w:uiPriority w:val="99"/>
    <w:pPr>
      <w:spacing w:after="0" w:line="240" w:lineRule="auto"/>
    </w:pPr>
    <w:rPr>
      <w:sz w:val="20"/>
      <w:szCs w:val="20"/>
      <w:lang w:val="es-ES"/>
    </w:rPr>
  </w:style>
  <w:style w:type="paragraph" w:styleId="13">
    <w:name w:val="annotation subject"/>
    <w:basedOn w:val="14"/>
    <w:next w:val="14"/>
    <w:link w:val="29"/>
    <w:semiHidden/>
    <w:unhideWhenUsed/>
    <w:uiPriority w:val="99"/>
    <w:rPr>
      <w:b/>
      <w:bCs/>
    </w:rPr>
  </w:style>
  <w:style w:type="paragraph" w:styleId="14">
    <w:name w:val="annotation text"/>
    <w:basedOn w:val="1"/>
    <w:link w:val="28"/>
    <w:semiHidden/>
    <w:unhideWhenUsed/>
    <w:qFormat/>
    <w:uiPriority w:val="99"/>
    <w:pPr>
      <w:spacing w:line="240" w:lineRule="auto"/>
    </w:pPr>
    <w:rPr>
      <w:sz w:val="20"/>
      <w:szCs w:val="20"/>
    </w:rPr>
  </w:style>
  <w:style w:type="paragraph" w:styleId="15">
    <w:name w:val="Balloon Text"/>
    <w:basedOn w:val="1"/>
    <w:link w:val="27"/>
    <w:semiHidden/>
    <w:unhideWhenUsed/>
    <w:uiPriority w:val="99"/>
    <w:pPr>
      <w:spacing w:after="0" w:line="240" w:lineRule="auto"/>
    </w:pPr>
    <w:rPr>
      <w:rFonts w:ascii="Segoe UI" w:hAnsi="Segoe UI" w:cs="Segoe UI"/>
      <w:sz w:val="18"/>
      <w:szCs w:val="18"/>
    </w:rPr>
  </w:style>
  <w:style w:type="paragraph" w:styleId="16">
    <w:name w:val="header"/>
    <w:basedOn w:val="1"/>
    <w:link w:val="25"/>
    <w:unhideWhenUsed/>
    <w:uiPriority w:val="99"/>
    <w:pPr>
      <w:tabs>
        <w:tab w:val="center" w:pos="4419"/>
        <w:tab w:val="right" w:pos="8838"/>
      </w:tabs>
      <w:spacing w:after="0" w:line="240" w:lineRule="auto"/>
    </w:pPr>
  </w:style>
  <w:style w:type="paragraph" w:styleId="17">
    <w:name w:val="footer"/>
    <w:basedOn w:val="1"/>
    <w:link w:val="23"/>
    <w:unhideWhenUsed/>
    <w:qFormat/>
    <w:uiPriority w:val="99"/>
    <w:pPr>
      <w:tabs>
        <w:tab w:val="center" w:pos="4419"/>
        <w:tab w:val="right" w:pos="8838"/>
      </w:tabs>
      <w:spacing w:after="0" w:line="240" w:lineRule="auto"/>
    </w:p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qFormat/>
    <w:uiPriority w:val="0"/>
    <w:pPr>
      <w:keepNext/>
      <w:keepLines/>
      <w:pageBreakBefore w:val="0"/>
      <w:spacing w:before="480" w:after="120"/>
    </w:pPr>
    <w:rPr>
      <w:b/>
      <w:bCs/>
      <w:sz w:val="72"/>
      <w:szCs w:val="72"/>
    </w:rPr>
  </w:style>
  <w:style w:type="table" w:styleId="20">
    <w:name w:val="Table Grid"/>
    <w:basedOn w:val="9"/>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Normal"/>
    <w:uiPriority w:val="0"/>
    <w:tblPr>
      <w:tblCellMar>
        <w:top w:w="100" w:type="dxa"/>
        <w:left w:w="100" w:type="dxa"/>
        <w:bottom w:w="100" w:type="dxa"/>
        <w:right w:w="100" w:type="dxa"/>
      </w:tblCellMar>
    </w:tblPr>
  </w:style>
  <w:style w:type="character" w:customStyle="1" w:styleId="22">
    <w:name w:val="Título 3 Car"/>
    <w:basedOn w:val="8"/>
    <w:qFormat/>
    <w:uiPriority w:val="9"/>
    <w:rPr>
      <w:rFonts w:asciiTheme="majorHAnsi" w:hAnsiTheme="majorHAnsi" w:eastAsiaTheme="majorEastAsia" w:cstheme="majorBidi"/>
      <w:color w:val="203864" w:themeColor="accent1" w:themeShade="80"/>
    </w:rPr>
  </w:style>
  <w:style w:type="character" w:customStyle="1" w:styleId="23">
    <w:name w:val="Pie de página Car"/>
    <w:basedOn w:val="8"/>
    <w:link w:val="17"/>
    <w:qFormat/>
    <w:uiPriority w:val="99"/>
    <w:rPr>
      <w:sz w:val="22"/>
      <w:szCs w:val="22"/>
    </w:rPr>
  </w:style>
  <w:style w:type="character" w:customStyle="1" w:styleId="24">
    <w:name w:val="Texto nota pie Car"/>
    <w:basedOn w:val="8"/>
    <w:link w:val="12"/>
    <w:semiHidden/>
    <w:uiPriority w:val="99"/>
    <w:rPr>
      <w:sz w:val="20"/>
      <w:szCs w:val="20"/>
      <w:lang w:val="es-ES"/>
    </w:rPr>
  </w:style>
  <w:style w:type="character" w:customStyle="1" w:styleId="25">
    <w:name w:val="Encabezado Car"/>
    <w:basedOn w:val="8"/>
    <w:link w:val="16"/>
    <w:uiPriority w:val="99"/>
    <w:rPr>
      <w:sz w:val="22"/>
      <w:szCs w:val="22"/>
    </w:rPr>
  </w:style>
  <w:style w:type="table" w:customStyle="1" w:styleId="26">
    <w:name w:val="Tabla con cuadrícula1"/>
    <w:basedOn w:val="9"/>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Texto de globo Car"/>
    <w:basedOn w:val="8"/>
    <w:link w:val="15"/>
    <w:semiHidden/>
    <w:uiPriority w:val="99"/>
    <w:rPr>
      <w:rFonts w:ascii="Segoe UI" w:hAnsi="Segoe UI" w:cs="Segoe UI"/>
      <w:sz w:val="18"/>
      <w:szCs w:val="18"/>
    </w:rPr>
  </w:style>
  <w:style w:type="character" w:customStyle="1" w:styleId="28">
    <w:name w:val="Texto comentario Car"/>
    <w:basedOn w:val="8"/>
    <w:link w:val="14"/>
    <w:semiHidden/>
    <w:uiPriority w:val="99"/>
    <w:rPr>
      <w:sz w:val="20"/>
      <w:szCs w:val="20"/>
    </w:rPr>
  </w:style>
  <w:style w:type="character" w:customStyle="1" w:styleId="29">
    <w:name w:val="Asunto del comentario Car"/>
    <w:basedOn w:val="28"/>
    <w:link w:val="13"/>
    <w:semiHidden/>
    <w:uiPriority w:val="99"/>
    <w:rPr>
      <w:b/>
      <w:bCs/>
      <w:sz w:val="20"/>
      <w:szCs w:val="20"/>
    </w:rPr>
  </w:style>
  <w:style w:type="table" w:customStyle="1" w:styleId="30">
    <w:name w:val="_Style 29"/>
    <w:basedOn w:val="21"/>
    <w:qFormat/>
    <w:uiPriority w:val="0"/>
    <w:rPr>
      <w:sz w:val="22"/>
      <w:szCs w:val="22"/>
    </w:rPr>
    <w:tblPr>
      <w:tblCellMar>
        <w:top w:w="0" w:type="dxa"/>
        <w:left w:w="108" w:type="dxa"/>
        <w:bottom w:w="0" w:type="dxa"/>
        <w:right w:w="108" w:type="dxa"/>
      </w:tblCellMar>
    </w:tblPr>
  </w:style>
  <w:style w:type="table" w:customStyle="1" w:styleId="31">
    <w:name w:val="_Style 30"/>
    <w:basedOn w:val="21"/>
    <w:qFormat/>
    <w:uiPriority w:val="0"/>
    <w:rPr>
      <w:sz w:val="22"/>
      <w:szCs w:val="22"/>
    </w:rPr>
    <w:tblPr>
      <w:tblCellMar>
        <w:top w:w="0" w:type="dxa"/>
        <w:left w:w="108" w:type="dxa"/>
        <w:bottom w:w="0" w:type="dxa"/>
        <w:right w:w="108" w:type="dxa"/>
      </w:tblCellMar>
    </w:tblPr>
  </w:style>
  <w:style w:type="table" w:customStyle="1" w:styleId="32">
    <w:name w:val="_Style 31"/>
    <w:basedOn w:val="21"/>
    <w:qFormat/>
    <w:uiPriority w:val="0"/>
    <w:rPr>
      <w:sz w:val="22"/>
      <w:szCs w:val="22"/>
    </w:rPr>
    <w:tblPr>
      <w:tblCellMar>
        <w:top w:w="0" w:type="dxa"/>
        <w:left w:w="108" w:type="dxa"/>
        <w:bottom w:w="0" w:type="dxa"/>
        <w:right w:w="108" w:type="dxa"/>
      </w:tblCellMar>
    </w:tblPr>
  </w:style>
  <w:style w:type="table" w:customStyle="1" w:styleId="33">
    <w:name w:val="_Style 32"/>
    <w:basedOn w:val="21"/>
    <w:qFormat/>
    <w:uiPriority w:val="0"/>
    <w:rPr>
      <w:sz w:val="22"/>
      <w:szCs w:val="22"/>
    </w:rPr>
    <w:tblPr>
      <w:tblCellMar>
        <w:top w:w="0" w:type="dxa"/>
        <w:left w:w="108" w:type="dxa"/>
        <w:bottom w:w="0" w:type="dxa"/>
        <w:right w:w="108" w:type="dxa"/>
      </w:tblCellMar>
    </w:tblPr>
  </w:style>
  <w:style w:type="table" w:customStyle="1" w:styleId="34">
    <w:name w:val="_Style 33"/>
    <w:basedOn w:val="21"/>
    <w:qFormat/>
    <w:uiPriority w:val="0"/>
    <w:rPr>
      <w:sz w:val="22"/>
      <w:szCs w:val="22"/>
    </w:rPr>
    <w:tblPr>
      <w:tblCellMar>
        <w:top w:w="0" w:type="dxa"/>
        <w:left w:w="108" w:type="dxa"/>
        <w:bottom w:w="0" w:type="dxa"/>
        <w:right w:w="108" w:type="dxa"/>
      </w:tblCellMar>
    </w:tblPr>
  </w:style>
  <w:style w:type="table" w:customStyle="1" w:styleId="35">
    <w:name w:val="_Style 34"/>
    <w:basedOn w:val="21"/>
    <w:qFormat/>
    <w:uiPriority w:val="0"/>
    <w:rPr>
      <w:sz w:val="22"/>
      <w:szCs w:val="22"/>
    </w:rPr>
    <w:tblPr>
      <w:tblCellMar>
        <w:top w:w="0" w:type="dxa"/>
        <w:left w:w="108" w:type="dxa"/>
        <w:bottom w:w="0" w:type="dxa"/>
        <w:right w:w="108" w:type="dxa"/>
      </w:tblCellMar>
    </w:tblPr>
  </w:style>
  <w:style w:type="table" w:customStyle="1" w:styleId="36">
    <w:name w:val="_Style 35"/>
    <w:basedOn w:val="21"/>
    <w:qFormat/>
    <w:uiPriority w:val="0"/>
    <w:rPr>
      <w:sz w:val="22"/>
      <w:szCs w:val="22"/>
    </w:rPr>
    <w:tblPr>
      <w:tblCellMar>
        <w:top w:w="0" w:type="dxa"/>
        <w:left w:w="108" w:type="dxa"/>
        <w:bottom w:w="0" w:type="dxa"/>
        <w:right w:w="108" w:type="dxa"/>
      </w:tblCellMar>
    </w:tblPr>
  </w:style>
  <w:style w:type="table" w:customStyle="1" w:styleId="37">
    <w:name w:val="_Style 36"/>
    <w:basedOn w:val="21"/>
    <w:qFormat/>
    <w:uiPriority w:val="0"/>
    <w:rPr>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U5gm9rRQmAUy9ymRwKtojDleg==">CgMxLjAyDmgudGxpcjRkN2JzMW51Mg5oLndkZ3huOGd2ZWpwajIOaC5pYXBiMmtoYXNtN3QyDmguN3p3Y2NhNGs5YXhvMg5oLmpqMmF4b2o4OGloMTgAciExSzRpX2NFOU95NEw3c3drTWxISlRkWi1USGpaRDhXVG0=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2652</Words>
  <Characters>15134</Characters>
  <TotalTime>8</TotalTime>
  <ScaleCrop>false</ScaleCrop>
  <LinksUpToDate>false</LinksUpToDate>
  <CharactersWithSpaces>17579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lastModifiedBy>marco</cp:lastModifiedBy>
  <dcterms:modified xsi:type="dcterms:W3CDTF">2026-10-19T00:16:50Z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KSOTemplateDocerSaveRecord">
    <vt:lpwstr>eyJoZGlkIjoiMzQ2MzljNmQ4MWI5YjU2ZDI5OTdmMzIyMTQ1YmI5ZDcifQ==</vt:lpwstr>
  </property>
  <property fmtid="{D5CDD505-2E9C-101B-9397-08002B2CF9AE}" pid="4" name="KSOProductBuildVer">
    <vt:lpwstr>3082-12.1.0.29162</vt:lpwstr>
  </property>
  <property fmtid="{D5CDD505-2E9C-101B-9397-08002B2CF9AE}" pid="5" name="ICV">
    <vt:lpwstr>DA22E28489EB4F1CB5315299AE1A0793_12</vt:lpwstr>
  </property>
</Properties>
</file>