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Heading1"/>
      </w:pPr>
      <w:r>
        <w:t xml:space="preserve">FR Scale Estimates</w:t>
      </w:r>
    </w:p>
    <w:p>
      <w:r>
        <w:t xml:space="preserve">This document provides rough capacity planning estimates for computing face recognition (FR) embeddings at very large scale (billions of face photos). The goal is to estimate how long it would take to compute embeddings when batching faces and processing them on GPUs.</w:t>
      </w:r>
    </w:p>
    <w:p>
      <w:pPr>
        <w:pStyle w:val="Heading2"/>
      </w:pPr>
      <w:r>
        <w:t xml:space="preserve">What is being estimated</w:t>
      </w:r>
    </w:p>
    <w:p>
      <w:r>
        <w:t xml:space="preserve">We assume a pipeline where faces are already detected or extracted and are sent to a GPU embedding model in batches. The GPU processes batches of faces and returns vector embeddings (e.g., AdaFace / ArcFace). The estimates below focus on embedding throughput per GPU and scale it across a GPU fleet.</w:t>
      </w:r>
    </w:p>
    <w:p>
      <w:pPr>
        <w:pStyle w:val="Heading2"/>
      </w:pPr>
      <w:r>
        <w:t xml:space="preserve">Key Formula</w:t>
      </w:r>
    </w:p>
    <w:p>
      <w:r>
        <w:t xml:space="preserve">Total Processing Time = Total Faces / (Faces per Second per GPU × Number of GPUs)</w:t>
      </w:r>
    </w:p>
    <w:p>
      <w:pPr>
        <w:pStyle w:val="Heading2"/>
      </w:pPr>
      <w:r>
        <w:t xml:space="preserve">Assumptions</w:t>
      </w:r>
    </w:p>
    <w:p>
      <w:pPr>
        <w:pStyle w:val="ListBullet"/>
      </w:pPr>
      <w:r>
        <w:t xml:space="preserve">Total faces to process: 2,000,000,000 (2 billion)</w:t>
      </w:r>
    </w:p>
    <w:p>
      <w:pPr>
        <w:pStyle w:val="ListBullet"/>
      </w:pPr>
      <w:r>
        <w:t xml:space="preserve">Faces are batched before GPU inference</w:t>
      </w:r>
    </w:p>
    <w:p>
      <w:pPr>
        <w:pStyle w:val="ListBullet"/>
      </w:pPr>
      <w:r>
        <w:t xml:space="preserve">Embedding pipeline is reasonably optimized</w:t>
      </w:r>
    </w:p>
    <w:p>
      <w:pPr>
        <w:pStyle w:val="ListBullet"/>
      </w:pPr>
      <w:r>
        <w:t xml:space="preserve">Throughput values represent end‑to‑end effective throughput per GPU</w:t>
      </w:r>
    </w:p>
    <w:p>
      <w:pPr>
        <w:pStyle w:val="Heading2"/>
      </w:pPr>
      <w:r>
        <w:t xml:space="preserve">Estimated Processing Time for 2 Billion Faces</w:t>
      </w:r>
    </w:p>
    <w:tbl>
      <w:tblPr>
        <w:tblW w:w="0" w:type="auto"/>
        <w:tblLook w:val="04A0" w:firstRow="1" w:lastRow="0" w:firstColumn="1" w:lastColumn="0" w:noHBand="0" w:noVBand="1"/>
      </w:tblPr>
      <w:tblGrid>
        <w:gridCol w:w="1728"/>
        <w:gridCol w:w="1728"/>
        <w:gridCol w:w="1728"/>
        <w:gridCol w:w="1728"/>
        <w:gridCol w:w="1728"/>
      </w:tblGrid>
      <w:tr>
        <w:tc>
          <w:tcPr>
            <w:tcW w:w="1728" w:type="dxa"/>
          </w:tcPr>
          <w:p>
            <w:r>
              <w:t xml:space="preserve">Faces/sec per GPU</w:t>
            </w:r>
          </w:p>
        </w:tc>
        <w:tc>
          <w:tcPr>
            <w:tcW w:w="1728" w:type="dxa"/>
          </w:tcPr>
          <w:p>
            <w:r>
              <w:t xml:space="preserve">1 GPU</w:t>
            </w:r>
          </w:p>
        </w:tc>
        <w:tc>
          <w:tcPr>
            <w:tcW w:w="1728" w:type="dxa"/>
          </w:tcPr>
          <w:p>
            <w:r>
              <w:t xml:space="preserve">10 GPUs</w:t>
            </w:r>
          </w:p>
        </w:tc>
        <w:tc>
          <w:tcPr>
            <w:tcW w:w="1728" w:type="dxa"/>
          </w:tcPr>
          <w:p>
            <w:r>
              <w:t xml:space="preserve">100 GPUs</w:t>
            </w:r>
          </w:p>
        </w:tc>
        <w:tc>
          <w:tcPr>
            <w:tcW w:w="1728" w:type="dxa"/>
          </w:tcPr>
          <w:p>
            <w:r>
              <w:t xml:space="preserve">1000 GPUs</w:t>
            </w:r>
          </w:p>
        </w:tc>
      </w:tr>
      <w:tr>
        <w:tc>
          <w:tcPr>
            <w:tcW w:w="1728" w:type="dxa"/>
          </w:tcPr>
          <w:p>
            <w:r>
              <w:t xml:space="preserve">100</w:t>
            </w:r>
          </w:p>
        </w:tc>
        <w:tc>
          <w:tcPr>
            <w:tcW w:w="1728" w:type="dxa"/>
          </w:tcPr>
          <w:p>
            <w:r>
              <w:t xml:space="preserve">231.5 days</w:t>
            </w:r>
          </w:p>
        </w:tc>
        <w:tc>
          <w:tcPr>
            <w:tcW w:w="1728" w:type="dxa"/>
          </w:tcPr>
          <w:p>
            <w:r>
              <w:t xml:space="preserve">23.1 days</w:t>
            </w:r>
          </w:p>
        </w:tc>
        <w:tc>
          <w:tcPr>
            <w:tcW w:w="1728" w:type="dxa"/>
          </w:tcPr>
          <w:p>
            <w:r>
              <w:t xml:space="preserve">2.31 days</w:t>
            </w:r>
          </w:p>
        </w:tc>
        <w:tc>
          <w:tcPr>
            <w:tcW w:w="1728" w:type="dxa"/>
          </w:tcPr>
          <w:p>
            <w:r>
              <w:t xml:space="preserve">5.6 hours</w:t>
            </w:r>
          </w:p>
        </w:tc>
      </w:tr>
      <w:tr>
        <w:tc>
          <w:tcPr>
            <w:tcW w:w="1728" w:type="dxa"/>
          </w:tcPr>
          <w:p>
            <w:r>
              <w:t xml:space="preserve">250</w:t>
            </w:r>
          </w:p>
        </w:tc>
        <w:tc>
          <w:tcPr>
            <w:tcW w:w="1728" w:type="dxa"/>
          </w:tcPr>
          <w:p>
            <w:r>
              <w:t xml:space="preserve">92.6 days</w:t>
            </w:r>
          </w:p>
        </w:tc>
        <w:tc>
          <w:tcPr>
            <w:tcW w:w="1728" w:type="dxa"/>
          </w:tcPr>
          <w:p>
            <w:r>
              <w:t xml:space="preserve">9.26 days</w:t>
            </w:r>
          </w:p>
        </w:tc>
        <w:tc>
          <w:tcPr>
            <w:tcW w:w="1728" w:type="dxa"/>
          </w:tcPr>
          <w:p>
            <w:r>
              <w:t xml:space="preserve">22.2 hours</w:t>
            </w:r>
          </w:p>
        </w:tc>
        <w:tc>
          <w:tcPr>
            <w:tcW w:w="1728" w:type="dxa"/>
          </w:tcPr>
          <w:p>
            <w:r>
              <w:t xml:space="preserve">2.22 hours</w:t>
            </w:r>
          </w:p>
        </w:tc>
      </w:tr>
      <w:tr>
        <w:tc>
          <w:tcPr>
            <w:tcW w:w="1728" w:type="dxa"/>
          </w:tcPr>
          <w:p>
            <w:r>
              <w:t xml:space="preserve">500</w:t>
            </w:r>
          </w:p>
        </w:tc>
        <w:tc>
          <w:tcPr>
            <w:tcW w:w="1728" w:type="dxa"/>
          </w:tcPr>
          <w:p>
            <w:r>
              <w:t xml:space="preserve">46.3 days</w:t>
            </w:r>
          </w:p>
        </w:tc>
        <w:tc>
          <w:tcPr>
            <w:tcW w:w="1728" w:type="dxa"/>
          </w:tcPr>
          <w:p>
            <w:r>
              <w:t xml:space="preserve">4.63 days</w:t>
            </w:r>
          </w:p>
        </w:tc>
        <w:tc>
          <w:tcPr>
            <w:tcW w:w="1728" w:type="dxa"/>
          </w:tcPr>
          <w:p>
            <w:r>
              <w:t xml:space="preserve">11.1 hours</w:t>
            </w:r>
          </w:p>
        </w:tc>
        <w:tc>
          <w:tcPr>
            <w:tcW w:w="1728" w:type="dxa"/>
          </w:tcPr>
          <w:p>
            <w:r>
              <w:t xml:space="preserve">1.11 hours</w:t>
            </w:r>
          </w:p>
        </w:tc>
      </w:tr>
      <w:tr>
        <w:tc>
          <w:tcPr>
            <w:tcW w:w="1728" w:type="dxa"/>
          </w:tcPr>
          <w:p>
            <w:r>
              <w:t xml:space="preserve">800</w:t>
            </w:r>
          </w:p>
        </w:tc>
        <w:tc>
          <w:tcPr>
            <w:tcW w:w="1728" w:type="dxa"/>
          </w:tcPr>
          <w:p>
            <w:r>
              <w:t xml:space="preserve">28.9 days</w:t>
            </w:r>
          </w:p>
        </w:tc>
        <w:tc>
          <w:tcPr>
            <w:tcW w:w="1728" w:type="dxa"/>
          </w:tcPr>
          <w:p>
            <w:r>
              <w:t xml:space="preserve">2.89 days</w:t>
            </w:r>
          </w:p>
        </w:tc>
        <w:tc>
          <w:tcPr>
            <w:tcW w:w="1728" w:type="dxa"/>
          </w:tcPr>
          <w:p>
            <w:r>
              <w:t xml:space="preserve">6.9 hours</w:t>
            </w:r>
          </w:p>
        </w:tc>
        <w:tc>
          <w:tcPr>
            <w:tcW w:w="1728" w:type="dxa"/>
          </w:tcPr>
          <w:p>
            <w:r>
              <w:t xml:space="preserve">41.7 minutes</w:t>
            </w:r>
          </w:p>
        </w:tc>
      </w:tr>
    </w:tbl>
    <w:p>
      <w:pPr>
        <w:pStyle w:val="Heading2"/>
      </w:pPr>
      <w:r>
        <w:t xml:space="preserve">Interpretation</w:t>
      </w:r>
    </w:p>
    <w:p>
      <w:r>
        <w:t xml:space="preserve">If each GPU can process ~500 faces/sec end‑to‑end (batched inference), a fleet of 100 GPUs could process 2 billion faces in roughly 11 hours. With 1,000 GPUs, the same workload could finish in about an hour.</w:t>
      </w:r>
    </w:p>
    <w:p>
      <w:pPr>
        <w:pStyle w:val="Heading2"/>
      </w:pPr>
      <w:r>
        <w:t xml:space="preserve">Real‑World Factors Affecting Throughput</w:t>
      </w:r>
    </w:p>
    <w:p>
      <w:pPr>
        <w:pStyle w:val="ListBullet"/>
      </w:pPr>
      <w:r>
        <w:t xml:space="preserve">Image loading and decoding speed</w:t>
      </w:r>
    </w:p>
    <w:p>
      <w:pPr>
        <w:pStyle w:val="ListBullet"/>
      </w:pPr>
      <w:r>
        <w:t xml:space="preserve">Face detection and alignment cost</w:t>
      </w:r>
    </w:p>
    <w:p>
      <w:pPr>
        <w:pStyle w:val="ListBullet"/>
      </w:pPr>
      <w:r>
        <w:t xml:space="preserve">Batching efficiency</w:t>
      </w:r>
    </w:p>
    <w:p>
      <w:pPr>
        <w:pStyle w:val="ListBullet"/>
      </w:pPr>
      <w:r>
        <w:t xml:space="preserve">GPU utilization</w:t>
      </w:r>
    </w:p>
    <w:p>
      <w:pPr>
        <w:pStyle w:val="ListBullet"/>
      </w:pPr>
      <w:r>
        <w:t xml:space="preserve">Vector database write throughput</w:t>
      </w:r>
    </w:p>
    <w:p>
      <w:pPr>
        <w:pStyle w:val="ListBullet"/>
      </w:pPr>
      <w:r>
        <w:t xml:space="preserve">Network and storage bandwidth</w:t>
      </w:r>
    </w:p>
    <w:sectPr>
      <w:pgSz w:h="15840" w:w="122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7C"/>
    <w:lvl w:ilvl="0">
      <w:lvlJc w:val="left"/>
      <w:lvlText w:val="%1."/>
      <w:numFmt w:val="decimal"/>
      <w:pPr>
        <w:tabs>
          <w:tab w:val="num" w:pos="1800"/>
        </w:tabs>
        <w:ind w:hanging="360" w:left="1800"/>
      </w:pPr>
      <w:start w:val="1"/>
    </w:lvl>
  </w:abstractNum>
  <w:abstractNum w:abstractNumId="1">
    <w:multiLevelType w:val="singleLevel"/>
    <w:nsid w:val="FFFFFF7D"/>
    <w:lvl w:ilvl="0">
      <w:lvlJc w:val="left"/>
      <w:lvlText w:val="%1."/>
      <w:numFmt w:val="decimal"/>
      <w:pPr>
        <w:tabs>
          <w:tab w:val="num" w:pos="1440"/>
        </w:tabs>
        <w:ind w:hanging="360" w:left="1440"/>
      </w:pPr>
      <w:start w:val="1"/>
    </w:lvl>
  </w:abstractNum>
  <w:abstractNum w:abstractNumId="2">
    <w:multiLevelType w:val="singleLevel"/>
    <w:nsid w:val="FFFFFF7E"/>
    <w:lvl w:ilvl="0">
      <w:lvlJc w:val="left"/>
      <w:lvlText w:val="%1."/>
      <w:numFmt w:val="decimal"/>
      <w:pPr>
        <w:tabs>
          <w:tab w:val="num" w:pos="1080"/>
        </w:tabs>
        <w:ind w:hanging="360" w:left="1080"/>
      </w:pPr>
      <w:pStyle w:val="ListNumber3"/>
      <w:start w:val="1"/>
    </w:lvl>
  </w:abstractNum>
  <w:abstractNum w:abstractNumId="3">
    <w:multiLevelType w:val="singleLevel"/>
    <w:nsid w:val="FFFFFF7F"/>
    <w:lvl w:ilvl="0">
      <w:lvlJc w:val="left"/>
      <w:lvlText w:val="%1."/>
      <w:numFmt w:val="decimal"/>
      <w:pPr>
        <w:tabs>
          <w:tab w:val="num" w:pos="720"/>
        </w:tabs>
        <w:ind w:hanging="360" w:left="720"/>
      </w:pPr>
      <w:pStyle w:val="ListNumber2"/>
      <w:start w:val="1"/>
    </w:lvl>
  </w:abstractNum>
  <w:abstractNum w:abstractNumId="4">
    <w:multiLevelType w:val="singleLevel"/>
    <w:nsid w:val="FFFFFF81"/>
    <w:lvl w:ilvl="0">
      <w:lvlJc w:val="left"/>
      <w:lvlText w:val=""/>
      <w:numFmt w:val="bullet"/>
      <w:pPr>
        <w:tabs>
          <w:tab w:val="num" w:pos="1440"/>
        </w:tabs>
        <w:ind w:hanging="360" w:left="1440"/>
      </w:pPr>
      <w:rPr>
        <w:rFonts w:hint="default" w:ascii="Symbol" w:hAnsi="Symbol"/>
      </w:rPr>
      <w:start w:val="1"/>
    </w:lvl>
  </w:abstractNum>
  <w:abstractNum w:abstractNumId="5">
    <w:multiLevelType w:val="singleLevel"/>
    <w:nsid w:val="FFFFFF82"/>
    <w:lvl w:ilvl="0">
      <w:lvlJc w:val="left"/>
      <w:lvlText w:val=""/>
      <w:numFmt w:val="bullet"/>
      <w:pPr>
        <w:tabs>
          <w:tab w:val="num" w:pos="1080"/>
        </w:tabs>
        <w:ind w:hanging="360" w:left="1080"/>
      </w:pPr>
      <w:pStyle w:val="ListBullet3"/>
      <w:rPr>
        <w:rFonts w:hint="default" w:ascii="Symbol" w:hAnsi="Symbol"/>
      </w:rPr>
      <w:start w:val="1"/>
    </w:lvl>
  </w:abstractNum>
  <w:abstractNum w:abstractNumId="6">
    <w:multiLevelType w:val="singleLevel"/>
    <w:nsid w:val="FFFFFF83"/>
    <w:lvl w:ilvl="0">
      <w:lvlJc w:val="left"/>
      <w:lvlText w:val=""/>
      <w:numFmt w:val="bullet"/>
      <w:pPr>
        <w:tabs>
          <w:tab w:val="num" w:pos="720"/>
        </w:tabs>
        <w:ind w:hanging="360" w:left="720"/>
      </w:pPr>
      <w:pStyle w:val="ListBullet2"/>
      <w:rPr>
        <w:rFonts w:hint="default" w:ascii="Symbol" w:hAnsi="Symbol"/>
      </w:rPr>
      <w:start w:val="1"/>
    </w:lvl>
  </w:abstractNum>
  <w:abstractNum w:abstractNumId="7">
    <w:multiLevelType w:val="singleLevel"/>
    <w:nsid w:val="FFFFFF88"/>
    <w:lvl w:ilvl="0">
      <w:lvlJc w:val="left"/>
      <w:lvlText w:val="%1."/>
      <w:numFmt w:val="decimal"/>
      <w:pPr>
        <w:tabs>
          <w:tab w:val="num" w:pos="360"/>
        </w:tabs>
        <w:ind w:hanging="360" w:left="360"/>
      </w:pPr>
      <w:pStyle w:val="ListNumber"/>
      <w:start w:val="1"/>
    </w:lvl>
  </w:abstractNum>
  <w:abstractNum w:abstractNumId="8">
    <w:multiLevelType w:val="singleLevel"/>
    <w:nsid w:val="FFFFFF89"/>
    <w:lvl w:ilvl="0">
      <w:lvlJc w:val="left"/>
      <w:lvlText w:val=""/>
      <w:numFmt w:val="bullet"/>
      <w:pPr>
        <w:tabs>
          <w:tab w:val="num" w:pos="360"/>
        </w:tabs>
        <w:ind w:hanging="360" w:left="360"/>
      </w:pPr>
      <w:pStyle w:val="ListBullet"/>
      <w:rPr>
        <w:rFonts w:hint="default" w:ascii="Symbol" w:hAnsi="Symbol"/>
      </w:rPr>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val="true"/>
      <w:keepLines w:val="true"/>
      <w:spacing w:after="0"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pPr>
      <w:keepNext w:val="true"/>
      <w:keepLines w:val="true"/>
      <w:spacing w:after="0"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pPr>
      <w:keepNext w:val="true"/>
      <w:keepLines w:val="true"/>
      <w:spacing w:after="0"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pPr>
      <w:keepNext w:val="true"/>
      <w:keepLines w:val="true"/>
      <w:spacing w:after="0"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val="true"/>
      <w:keepLines w:val="true"/>
      <w:spacing w:after="0"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pPr>
      <w:keepNext w:val="true"/>
      <w:keepLines w:val="true"/>
      <w:spacing w:after="0"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val="true"/>
      <w:keepLines w:val="true"/>
      <w:spacing w:after="0"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left w:w="108" w:type="dxa"/>
        <w:top w:w="0" w:type="dxa"/>
        <w:right w:w="108" w:type="dxa"/>
        <w:bottom w:w="0"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pPr>
      <w:pBdr>
        <w:bottom w:val="single" w:color="4f81bd" w:themeColor="accent1" w:sz="8" w:space="4"/>
      </w:pBdr>
      <w:spacing w:after="300" w:line="240" w:lineRule="auto"/>
      <w:contextualSpacing w:val="true"/>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pPr>
      <w:ind w:left="720"/>
      <w:contextualSpacing w:val="true"/>
    </w:pPr>
  </w:style>
  <w:style w:type="paragraph" w:styleId="BodyText">
    <w:name w:val="Body Text"/>
    <w:basedOn w:val="Normal"/>
    <w:link w:val="BodyTextChar"/>
    <w:uiPriority w:val="99"/>
    <w:unhideWhenUsed/>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unhideWhenUsed/>
    <w:pPr>
      <w:ind w:hanging="360" w:left="360"/>
      <w:contextualSpacing w:val="true"/>
    </w:pPr>
  </w:style>
  <w:style w:type="paragraph" w:styleId="List2">
    <w:name w:val="List 2"/>
    <w:basedOn w:val="Normal"/>
    <w:uiPriority w:val="99"/>
    <w:unhideWhenUsed/>
    <w:pPr>
      <w:ind w:hanging="360" w:left="720"/>
      <w:contextualSpacing w:val="true"/>
    </w:pPr>
  </w:style>
  <w:style w:type="paragraph" w:styleId="List3">
    <w:name w:val="List 3"/>
    <w:basedOn w:val="Normal"/>
    <w:uiPriority w:val="99"/>
    <w:unhideWhenUsed/>
    <w:pPr>
      <w:ind w:hanging="360" w:left="1080"/>
      <w:contextualSpacing w:val="true"/>
    </w:pPr>
  </w:style>
  <w:style w:type="paragraph" w:styleId="ListBullet">
    <w:name w:val="List Bullet"/>
    <w:basedOn w:val="Normal"/>
    <w:uiPriority w:val="99"/>
    <w:unhideWhenUsed/>
    <w:pPr>
      <w:numPr>
        <w:numId w:val="1"/>
      </w:numPr>
      <w:contextualSpacing w:val="true"/>
    </w:pPr>
  </w:style>
  <w:style w:type="paragraph" w:styleId="ListBullet2">
    <w:name w:val="List Bullet 2"/>
    <w:basedOn w:val="Normal"/>
    <w:uiPriority w:val="99"/>
    <w:unhideWhenUsed/>
    <w:pPr>
      <w:numPr>
        <w:numId w:val="2"/>
      </w:numPr>
      <w:contextualSpacing w:val="true"/>
    </w:pPr>
  </w:style>
  <w:style w:type="paragraph" w:styleId="ListBullet3">
    <w:name w:val="List Bullet 3"/>
    <w:basedOn w:val="Normal"/>
    <w:uiPriority w:val="99"/>
    <w:unhideWhenUsed/>
    <w:pPr>
      <w:numPr>
        <w:numId w:val="3"/>
      </w:numPr>
      <w:contextualSpacing w:val="true"/>
    </w:pPr>
  </w:style>
  <w:style w:type="paragraph" w:styleId="ListNumber">
    <w:name w:val="List Number"/>
    <w:basedOn w:val="Normal"/>
    <w:uiPriority w:val="99"/>
    <w:unhideWhenUsed/>
    <w:pPr>
      <w:numPr>
        <w:numId w:val="5"/>
      </w:numPr>
      <w:contextualSpacing w:val="true"/>
    </w:pPr>
  </w:style>
  <w:style w:type="paragraph" w:styleId="ListNumber2">
    <w:name w:val="List Number 2"/>
    <w:basedOn w:val="Normal"/>
    <w:uiPriority w:val="99"/>
    <w:unhideWhenUsed/>
    <w:pPr>
      <w:numPr>
        <w:numId w:val="6"/>
      </w:numPr>
      <w:contextualSpacing w:val="true"/>
    </w:pPr>
  </w:style>
  <w:style w:type="paragraph" w:styleId="ListNumber3">
    <w:name w:val="List Number 3"/>
    <w:basedOn w:val="Normal"/>
    <w:uiPriority w:val="99"/>
    <w:unhideWhenUsed/>
    <w:pPr>
      <w:numPr>
        <w:numId w:val="7"/>
      </w:numPr>
      <w:contextualSpacing w:val="true"/>
    </w:pPr>
  </w:style>
  <w:style w:type="paragraph" w:styleId="ListContinue">
    <w:name w:val="List Continue"/>
    <w:basedOn w:val="Normal"/>
    <w:uiPriority w:val="99"/>
    <w:unhideWhenUsed/>
    <w:pPr>
      <w:spacing w:after="120"/>
      <w:ind w:left="360"/>
      <w:contextualSpacing w:val="true"/>
    </w:pPr>
  </w:style>
  <w:style w:type="paragraph" w:styleId="ListContinue2">
    <w:name w:val="List Continue 2"/>
    <w:basedOn w:val="Normal"/>
    <w:uiPriority w:val="99"/>
    <w:unhideWhenUsed/>
    <w:pPr>
      <w:spacing w:after="120"/>
      <w:ind w:left="720"/>
      <w:contextualSpacing w:val="true"/>
    </w:pPr>
  </w:style>
  <w:style w:type="paragraph" w:styleId="ListContinue3">
    <w:name w:val="List Continue 3"/>
    <w:basedOn w:val="Normal"/>
    <w:uiPriority w:val="99"/>
    <w:unhideWhenUsed/>
    <w:pPr>
      <w:spacing w:after="120"/>
      <w:ind w:left="1080"/>
      <w:contextualSpacing w:val="true"/>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styleId="QuoteChar" w:customStyle="1">
    <w:name w:val="Quote Char"/>
    <w:basedOn w:val="DefaultParagraphFont"/>
    <w:link w:val="Quote"/>
    <w:uiPriority w:val="29"/>
    <w:rPr>
      <w:i/>
      <w:iCs/>
      <w:color w:val="000000" w:themeColor="text1"/>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color="4f81bd" w:themeColor="accent1" w:sz="4" w:space="4"/>
      </w:pBdr>
      <w:spacing w:after="280" w:before="200"/>
      <w:ind w:right="936" w:left="936"/>
    </w:pPr>
    <w:rPr>
      <w:b/>
      <w:bCs/>
      <w:i/>
      <w:iCs/>
      <w:color w:val="4f81bd" w:themeColor="accent1"/>
    </w:rPr>
  </w:style>
  <w:style w:type="character" w:styleId="IntenseQuoteChar" w:customStyle="1">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la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hemeFill="text1" w:themeFillTint="3F"/>
      </w:tcPr>
    </w:tblStylePr>
    <w:tblStylePr w:type="band1Horz">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la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la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hemeFill="accent2" w:themeFillTint="3F"/>
      </w:tcPr>
    </w:tblStylePr>
    <w:tblStylePr w:type="band1Horz">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la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la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la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hemeFill="accent5" w:themeFillTint="3F"/>
      </w:tcPr>
    </w:tblStylePr>
    <w:tblStylePr w:type="band1Horz">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la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hemeFill="accent6" w:themeFillTint="3F"/>
      </w:tcPr>
    </w:tblStylePr>
    <w:tblStylePr w:type="band1Horz">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b/>
        <w:bCs/>
        <w:color w:val="ffffff" w:themeColor="background1"/>
      </w:rPr>
      <w:pPr>
        <w:spacing w:after="0" w:before="0" w:line="240" w:lineRule="auto"/>
      </w:pPr>
      <w:tcPr>
        <w:shd w:val="clear" w:color="auto" w:fill="000000" w:themeFill="text1"/>
      </w:tcPr>
    </w:tblStylePr>
    <w:tblStylePr w:type="lastRow">
      <w:rPr>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b/>
        <w:bCs/>
        <w:color w:val="ffffff" w:themeColor="background1"/>
      </w:rPr>
      <w:pPr>
        <w:spacing w:after="0" w:before="0" w:line="240" w:lineRule="auto"/>
      </w:pPr>
      <w:tcPr>
        <w:shd w:val="clear" w:color="auto" w:fill="4f81bd" w:themeFill="accent1"/>
      </w:tcPr>
    </w:tblStylePr>
    <w:tblStylePr w:type="lastRow">
      <w:rPr>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b/>
        <w:bCs/>
        <w:color w:val="ffffff" w:themeColor="background1"/>
      </w:rPr>
      <w:pPr>
        <w:spacing w:after="0" w:before="0" w:line="240" w:lineRule="auto"/>
      </w:pPr>
      <w:tcPr>
        <w:shd w:val="clear" w:color="auto" w:fill="c0504d" w:themeFill="accent2"/>
      </w:tcPr>
    </w:tblStylePr>
    <w:tblStylePr w:type="lastRow">
      <w:rPr>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b/>
        <w:bCs/>
        <w:color w:val="ffffff" w:themeColor="background1"/>
      </w:rPr>
      <w:pPr>
        <w:spacing w:after="0" w:before="0" w:line="240" w:lineRule="auto"/>
      </w:pPr>
      <w:tcPr>
        <w:shd w:val="clear" w:color="auto" w:fill="9bbb59" w:themeFill="accent3"/>
      </w:tcPr>
    </w:tblStylePr>
    <w:tblStylePr w:type="lastRow">
      <w:rPr>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b/>
        <w:bCs/>
        <w:color w:val="ffffff" w:themeColor="background1"/>
      </w:rPr>
      <w:pPr>
        <w:spacing w:after="0" w:before="0" w:line="240" w:lineRule="auto"/>
      </w:pPr>
      <w:tcPr>
        <w:shd w:val="clear" w:color="auto" w:fill="8064a2" w:themeFill="accent4"/>
      </w:tcPr>
    </w:tblStylePr>
    <w:tblStylePr w:type="lastRow">
      <w:rPr>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b/>
        <w:bCs/>
        <w:color w:val="ffffff" w:themeColor="background1"/>
      </w:rPr>
      <w:pPr>
        <w:spacing w:after="0" w:before="0" w:line="240" w:lineRule="auto"/>
      </w:pPr>
      <w:tcPr>
        <w:shd w:val="clear" w:color="auto" w:fill="4bacc6" w:themeFill="accent5"/>
      </w:tcPr>
    </w:tblStylePr>
    <w:tblStylePr w:type="lastRow">
      <w:rPr>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b/>
        <w:bCs/>
        <w:color w:val="ffffff" w:themeColor="background1"/>
      </w:rPr>
      <w:pPr>
        <w:spacing w:after="0" w:before="0" w:line="240" w:lineRule="auto"/>
      </w:pPr>
      <w:tcPr>
        <w:shd w:val="clear" w:color="auto" w:fill="f79646" w:themeFill="accent6"/>
      </w:tcPr>
    </w:tblStylePr>
    <w:tblStylePr w:type="lastRow">
      <w:rPr>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rPr>
        <w:rFonts w:asciiTheme="majorHAnsi" w:hAnsiTheme="majorHAnsi" w:eastAsiaTheme="majorEastAsia" w:cstheme="majorBidi"/>
        <w:b/>
        <w:bCs/>
      </w:rPr>
      <w:pPr>
        <w:spacing w:after="0" w:before="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rFonts w:asciiTheme="majorHAnsi" w:hAnsiTheme="majorHAnsi" w:eastAsiaTheme="majorEastAsia" w:cstheme="majorBidi"/>
        <w:b/>
        <w:bCs/>
      </w:rPr>
      <w:pPr>
        <w:spacing w:after="0" w:before="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rPr>
        <w:rFonts w:asciiTheme="majorHAnsi" w:hAnsiTheme="majorHAnsi" w:eastAsiaTheme="majorEastAsia" w:cstheme="majorBidi"/>
        <w:b/>
        <w:bCs/>
      </w:rPr>
      <w:pPr>
        <w:spacing w:after="0" w:before="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rPr>
        <w:rFonts w:asciiTheme="majorHAnsi" w:hAnsiTheme="majorHAnsi" w:eastAsiaTheme="majorEastAsia" w:cstheme="majorBidi"/>
        <w:b/>
        <w:bCs/>
      </w:rPr>
      <w:pPr>
        <w:spacing w:after="0" w:before="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rPr>
        <w:rFonts w:asciiTheme="majorHAnsi" w:hAnsiTheme="majorHAnsi" w:eastAsiaTheme="majorEastAsia" w:cstheme="majorBidi"/>
        <w:b/>
        <w:bCs/>
      </w:rPr>
      <w:pPr>
        <w:spacing w:after="0" w:before="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rPr>
        <w:rFonts w:asciiTheme="majorHAnsi" w:hAnsiTheme="majorHAnsi" w:eastAsiaTheme="majorEastAsia" w:cstheme="majorBidi"/>
        <w:b/>
        <w:bCs/>
      </w:rPr>
      <w:pPr>
        <w:spacing w:after="0" w:before="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rPr>
        <w:rFonts w:asciiTheme="majorHAnsi" w:hAnsiTheme="majorHAnsi" w:eastAsiaTheme="majorEastAsia" w:cstheme="majorBidi"/>
        <w:b/>
        <w:bCs/>
      </w:rPr>
      <w:pPr>
        <w:spacing w:after="0" w:before="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rPr>
        <w:b/>
        <w:bCs/>
        <w:color w:val="ffffff" w:themeColor="background1"/>
      </w:rPr>
      <w:pPr>
        <w:spacing w:after="0" w:before="0" w:line="240" w:lineRule="auto"/>
      </w:p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rPr>
        <w:b/>
        <w:bCs/>
      </w:rPr>
      <w:pPr>
        <w:spacing w:after="0" w:before="0" w:line="240" w:lineRule="auto"/>
      </w:p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0c0c0" w:themeFill="text1" w:themeFillTint="3F"/>
      </w:tcPr>
    </w:tblStylePr>
    <w:tblStylePr w:type="band1Horz">
      <w:tcPr>
        <w:tcBorders>
          <w:insideH w:val="nil"/>
          <w:insideV w:val="nil"/>
        </w:tcBorders>
        <w:shd w:val="clear" w:color="auto" w:fill="c0c0c0" w:themeFill="text1" w:themeFillTint="3F"/>
      </w:tcPr>
    </w:tblStylePr>
    <w:tblStylePr w:type="band2Horz">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rPr>
        <w:b/>
        <w:bCs/>
        <w:color w:val="ffffff" w:themeColor="background1"/>
      </w:rPr>
      <w:pPr>
        <w:spacing w:after="0" w:before="0" w:line="240" w:lineRule="auto"/>
      </w:p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rPr>
        <w:b/>
        <w:bCs/>
      </w:rPr>
      <w:pPr>
        <w:spacing w:after="0" w:before="0" w:line="240" w:lineRule="auto"/>
      </w:p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rPr>
        <w:b/>
        <w:bCs/>
        <w:color w:val="ffffff" w:themeColor="background1"/>
      </w:rPr>
      <w:pPr>
        <w:spacing w:after="0" w:before="0" w:line="240" w:lineRule="auto"/>
      </w:p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rPr>
        <w:b/>
        <w:bCs/>
      </w:rPr>
      <w:pPr>
        <w:spacing w:after="0" w:before="0" w:line="240" w:lineRule="auto"/>
      </w:p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2" w:themeFill="accent2" w:themeFillTint="3F"/>
      </w:tcPr>
    </w:tblStylePr>
    <w:tblStylePr w:type="band1Horz">
      <w:tcPr>
        <w:tcBorders>
          <w:insideH w:val="nil"/>
          <w:insideV w:val="nil"/>
        </w:tcBorders>
        <w:shd w:val="clear" w:color="auto" w:fill="efd3d2" w:themeFill="accent2" w:themeFillTint="3F"/>
      </w:tcPr>
    </w:tblStylePr>
    <w:tblStylePr w:type="band2Horz">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rPr>
        <w:b/>
        <w:bCs/>
        <w:color w:val="ffffff" w:themeColor="background1"/>
      </w:rPr>
      <w:pPr>
        <w:spacing w:after="0" w:before="0" w:line="240" w:lineRule="auto"/>
      </w:p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rPr>
        <w:b/>
        <w:bCs/>
      </w:rPr>
      <w:pPr>
        <w:spacing w:after="0" w:before="0" w:line="240" w:lineRule="auto"/>
      </w:p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rPr>
        <w:b/>
        <w:bCs/>
        <w:color w:val="ffffff" w:themeColor="background1"/>
      </w:rPr>
      <w:pPr>
        <w:spacing w:after="0" w:before="0" w:line="240" w:lineRule="auto"/>
      </w:p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rPr>
        <w:b/>
        <w:bCs/>
      </w:rPr>
      <w:pPr>
        <w:spacing w:after="0" w:before="0" w:line="240" w:lineRule="auto"/>
      </w:p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rPr>
        <w:b/>
        <w:bCs/>
        <w:color w:val="ffffff" w:themeColor="background1"/>
      </w:rPr>
      <w:pPr>
        <w:spacing w:after="0" w:before="0" w:line="240" w:lineRule="auto"/>
      </w:p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rPr>
        <w:b/>
        <w:bCs/>
      </w:rPr>
      <w:pPr>
        <w:spacing w:after="0" w:before="0" w:line="240" w:lineRule="auto"/>
      </w:p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1" w:themeFill="accent5" w:themeFillTint="3F"/>
      </w:tcPr>
    </w:tblStylePr>
    <w:tblStylePr w:type="band1Horz">
      <w:tcPr>
        <w:tcBorders>
          <w:insideH w:val="nil"/>
          <w:insideV w:val="nil"/>
        </w:tcBorders>
        <w:shd w:val="clear" w:color="auto" w:fill="d2eaf1" w:themeFill="accent5" w:themeFillTint="3F"/>
      </w:tcPr>
    </w:tblStylePr>
    <w:tblStylePr w:type="band2Horz">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rPr>
        <w:b/>
        <w:bCs/>
        <w:color w:val="ffffff" w:themeColor="background1"/>
      </w:rPr>
      <w:pPr>
        <w:spacing w:after="0" w:before="0" w:line="240" w:lineRule="auto"/>
      </w:p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rPr>
        <w:b/>
        <w:bCs/>
      </w:rPr>
      <w:pPr>
        <w:spacing w:after="0" w:before="0" w:line="240" w:lineRule="auto"/>
      </w:p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4d0" w:themeFill="accent6" w:themeFillTint="3F"/>
      </w:tcPr>
    </w:tblStylePr>
    <w:tblStylePr w:type="band1Horz">
      <w:tcPr>
        <w:tcBorders>
          <w:insideH w:val="nil"/>
          <w:insideV w:val="nil"/>
        </w:tcBorders>
        <w:shd w:val="clear" w:color="auto" w:fill="fde4d0" w:themeFill="accent6" w:themeFillTint="3F"/>
      </w:tcPr>
    </w:tblStylePr>
    <w:tblStylePr w:type="band2Horz">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000000" w:themeFill="tex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f81bd" w:themeFill="accen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c0504d" w:themeFill="accent2"/>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9bbb59" w:themeFill="accent3"/>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8064a2" w:themeFill="accent4"/>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bacc6" w:themeFill="accent5"/>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f79646" w:themeFill="accent6"/>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c0c0c0" w:themeFill="text1" w:themeFillTint="3F"/>
      </w:tcPr>
    </w:tblStylePr>
    <w:tblStylePr w:type="band1Horz">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2" w:themeFill="accent2" w:themeFillTint="3F"/>
      </w:tcPr>
    </w:tblStylePr>
    <w:tblStylePr w:type="band1Horz">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1" w:themeFill="accent5" w:themeFillTint="3F"/>
      </w:tcPr>
    </w:tblStylePr>
    <w:tblStylePr w:type="band1Horz">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4d0" w:themeFill="accent6" w:themeFillTint="3F"/>
      </w:tcPr>
    </w:tblStylePr>
    <w:tblStylePr w:type="band1Horz">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c0c0c0" w:themeFill="text1" w:themeFillTint="3F"/>
      </w:tcPr>
    </w:tblStylePr>
    <w:tblStylePr w:type="band1Horz">
      <w:tcPr>
        <w:tcBorders>
          <w:top w:val="nil"/>
          <w:bottom w:val="nil"/>
          <w:insideH w:val="nil"/>
          <w:insideV w:val="nil"/>
        </w:tcBorders>
        <w:shd w:val="clear" w:color="auto" w:fill="c0c0c0" w:themeFill="text1" w:themeFillTint="3F"/>
      </w:tcPr>
    </w:tblStylePr>
    <w:tblStylePr w:type="nwCell">
      <w:tcPr>
        <w:shd w:val="clear" w:color="auto" w:fill="ffffff" w:themeFill="background1"/>
      </w:tcPr>
    </w:tblStylePr>
    <w:tblStylePr w:type="swCell">
      <w:tcPr>
        <w:tcBorders>
          <w:top w:val="nil"/>
        </w:tcBorders>
      </w:tcPr>
    </w:tblStylePr>
  </w:style>
  <w:style w:type="table" w:styleId="MediumList2-Accent1">
    <w:name w:val="Medium List 2 Accent 1"/>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MediumList2-Accent2">
    <w:name w:val="Medium List 2 Accent 2"/>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2" w:themeFill="accent2" w:themeFillTint="3F"/>
      </w:tcPr>
    </w:tblStylePr>
    <w:tblStylePr w:type="band1Horz">
      <w:tcPr>
        <w:tcBorders>
          <w:top w:val="nil"/>
          <w:bottom w:val="nil"/>
          <w:insideH w:val="nil"/>
          <w:insideV w:val="nil"/>
        </w:tcBorders>
        <w:shd w:val="clear" w:color="auto" w:fill="efd3d2" w:themeFill="accent2" w:themeFillTint="3F"/>
      </w:tcPr>
    </w:tblStylePr>
    <w:tblStylePr w:type="nwCell">
      <w:tcPr>
        <w:shd w:val="clear" w:color="auto" w:fill="ffffff" w:themeFill="background1"/>
      </w:tcPr>
    </w:tblStylePr>
    <w:tblStylePr w:type="swCell">
      <w:tcPr>
        <w:tcBorders>
          <w:top w:val="nil"/>
        </w:tcBorders>
      </w:tcPr>
    </w:tblStylePr>
  </w:style>
  <w:style w:type="table" w:styleId="MediumList2-Accent3">
    <w:name w:val="Medium List 2 Accent 3"/>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MediumList2-Accent4">
    <w:name w:val="Medium List 2 Accent 4"/>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MediumList2-Accent5">
    <w:name w:val="Medium List 2 Accent 5"/>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1" w:themeFill="accent5" w:themeFillTint="3F"/>
      </w:tcPr>
    </w:tblStylePr>
    <w:tblStylePr w:type="band1Horz">
      <w:tcPr>
        <w:tcBorders>
          <w:top w:val="nil"/>
          <w:bottom w:val="nil"/>
          <w:insideH w:val="nil"/>
          <w:insideV w:val="nil"/>
        </w:tcBorders>
        <w:shd w:val="clear" w:color="auto" w:fill="d2eaf1" w:themeFill="accent5" w:themeFillTint="3F"/>
      </w:tcPr>
    </w:tblStylePr>
    <w:tblStylePr w:type="nwCell">
      <w:tcPr>
        <w:shd w:val="clear" w:color="auto" w:fill="ffffff" w:themeFill="background1"/>
      </w:tcPr>
    </w:tblStylePr>
    <w:tblStylePr w:type="swCell">
      <w:tcPr>
        <w:tcBorders>
          <w:top w:val="nil"/>
        </w:tcBorders>
      </w:tcPr>
    </w:tblStylePr>
  </w:style>
  <w:style w:type="table" w:styleId="MediumList2-Accent6">
    <w:name w:val="Medium List 2 Accent 6"/>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4d0" w:themeFill="accent6" w:themeFillTint="3F"/>
      </w:tcPr>
    </w:tblStylePr>
    <w:tblStylePr w:type="band1Horz">
      <w:tcPr>
        <w:tcBorders>
          <w:top w:val="nil"/>
          <w:bottom w:val="nil"/>
          <w:insideH w:val="nil"/>
          <w:insideV w:val="nil"/>
        </w:tcBorders>
        <w:shd w:val="clear" w:color="auto" w:fill="fde4d0" w:themeFill="accent6" w:themeFillTint="3F"/>
      </w:tcPr>
    </w:tblStylePr>
    <w:tblStylePr w:type="nwCell">
      <w:tcPr>
        <w:shd w:val="clear" w:color="auto" w:fill="ffffff" w:themeFill="background1"/>
      </w:tcPr>
    </w:tblStylePr>
    <w:tblStylePr w:type="swCell">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cPr>
        <w:tcBorders>
          <w:top w:val="single" w:color="404040" w:themeColor="text1" w:themeTint="BF" w:sz="18" w:space="0"/>
        </w:tcBorders>
      </w:tcPr>
    </w:tblStylePr>
    <w:tblStylePr w:type="firstCol">
      <w:rPr>
        <w:b/>
        <w:bCs/>
      </w:rPr>
    </w:tblStylePr>
    <w:tblStylePr w:type="lastCol">
      <w:rPr>
        <w:b/>
        <w:bCs/>
      </w:r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3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cPr>
        <w:shd w:val="clear" w:color="auto" w:fill="e6e6e6" w:themeFill="tex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cccccc" w:themeFill="text1" w:themeFillTint="33"/>
      </w:tcPr>
    </w:tblStylePr>
    <w:tblStylePr w:type="band1Vert">
      <w:tcPr>
        <w:shd w:val="clear" w:color="auto" w:fill="808080" w:themeFill="text1" w:themeFillTint="7F"/>
      </w:tcPr>
    </w:tblStylePr>
    <w:tblStylePr w:type="band1Horz">
      <w:tcPr>
        <w:tcBorders>
          <w:insideH w:val="single" w:color="000000" w:themeColor="text1" w:sz="6" w:space="0"/>
          <w:insideV w:val="single" w:color="000000" w:themeColor="text1" w:sz="6" w:space="0"/>
        </w:tcBorders>
        <w:shd w:val="clear" w:color="auto" w:fill="808080" w:themeFill="text1" w:themeFillTint="7F"/>
      </w:tcPr>
    </w:tblStylePr>
    <w:tblStylePr w:type="nwCell">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cPr>
        <w:shd w:val="clear" w:color="auto" w:fill="edf2f8" w:themeFill="accen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bfde" w:themeFill="accent1" w:themeFillTint="7F"/>
      </w:tcPr>
    </w:tblStylePr>
    <w:tblStylePr w:type="band1Horz">
      <w:tcPr>
        <w:tcBorders>
          <w:insideH w:val="single" w:color="4f81bd" w:themeColor="accent1" w:sz="6" w:space="0"/>
          <w:insideV w:val="single" w:color="4f81bd" w:themeColor="accent1" w:sz="6" w:space="0"/>
        </w:tcBorders>
        <w:shd w:val="clear" w:color="auto" w:fill="a7bfde" w:themeFill="accent1" w:themeFillTint="7F"/>
      </w:tcPr>
    </w:tblStylePr>
    <w:tblStylePr w:type="nwCell">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cPr>
        <w:shd w:val="clear" w:color="auto" w:fill="f8eded" w:themeFill="accent2"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color="c0504d" w:themeColor="accent2" w:sz="6" w:space="0"/>
          <w:insideV w:val="single" w:color="c0504d" w:themeColor="accent2" w:sz="6" w:space="0"/>
        </w:tcBorders>
        <w:shd w:val="clear" w:color="auto" w:fill="dfa7a6" w:themeFill="accent2" w:themeFillTint="7F"/>
      </w:tcPr>
    </w:tblStylePr>
    <w:tblStylePr w:type="nwCell">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cPr>
        <w:shd w:val="clear" w:color="auto" w:fill="f5f8ee" w:themeFill="accent3"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color="9bbb59" w:themeColor="accent3" w:sz="6" w:space="0"/>
          <w:insideV w:val="single" w:color="9bbb59" w:themeColor="accent3" w:sz="6" w:space="0"/>
        </w:tcBorders>
        <w:shd w:val="clear" w:color="auto" w:fill="cdddac" w:themeFill="accent3" w:themeFillTint="7F"/>
      </w:tcPr>
    </w:tblStylePr>
    <w:tblStylePr w:type="nwCell">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cPr>
        <w:shd w:val="clear" w:color="auto" w:fill="f2eff6" w:themeFill="accent4"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color="8064a2" w:themeColor="accent4" w:sz="6" w:space="0"/>
          <w:insideV w:val="single" w:color="8064a2" w:themeColor="accent4" w:sz="6" w:space="0"/>
        </w:tcBorders>
        <w:shd w:val="clear" w:color="auto" w:fill="bfb1d0" w:themeFill="accent4" w:themeFillTint="7F"/>
      </w:tcPr>
    </w:tblStylePr>
    <w:tblStylePr w:type="nwCell">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cPr>
        <w:shd w:val="clear" w:color="auto" w:fill="edf6f9" w:themeFill="accent5"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color="4bacc6" w:themeColor="accent5" w:sz="6" w:space="0"/>
          <w:insideV w:val="single" w:color="4bacc6" w:themeColor="accent5" w:sz="6" w:space="0"/>
        </w:tcBorders>
        <w:shd w:val="clear" w:color="auto" w:fill="a5d5e2" w:themeFill="accent5" w:themeFillTint="7F"/>
      </w:tcPr>
    </w:tblStylePr>
    <w:tblStylePr w:type="nwCell">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cPr>
        <w:shd w:val="clear" w:color="auto" w:fill="fef4ec" w:themeFill="accent6"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color="f79646" w:themeColor="accent6" w:sz="6" w:space="0"/>
          <w:insideV w:val="single" w:color="f79646" w:themeColor="accent6" w:sz="6" w:space="0"/>
        </w:tcBorders>
        <w:shd w:val="clear" w:color="auto" w:fill="fbcaa2" w:themeFill="accent6" w:themeFillTint="7F"/>
      </w:tcPr>
    </w:tblStylePr>
    <w:tblStylePr w:type="nwCell">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cPr>
        <w:tcBorders>
          <w:top w:val="nil"/>
          <w:left w:val="nil"/>
          <w:bottom w:val="nil"/>
          <w:right w:val="nil"/>
          <w:insideH w:val="nil"/>
          <w:insideV w:val="nil"/>
        </w:tcBorders>
        <w:shd w:val="clear" w:color="auto" w:fill="365f91" w:themeFill="accent1" w:themeFillShade="BF"/>
      </w:tcPr>
    </w:tblStylePr>
    <w:tblStylePr w:type="band1Horz">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cPr>
        <w:tcBorders>
          <w:top w:val="nil"/>
          <w:left w:val="nil"/>
          <w:bottom w:val="nil"/>
          <w:right w:val="nil"/>
          <w:insideH w:val="nil"/>
          <w:insideV w:val="nil"/>
        </w:tcBorders>
        <w:shd w:val="clear" w:color="auto" w:fill="943634" w:themeFill="accent2" w:themeFillShade="BF"/>
      </w:tcPr>
    </w:tblStylePr>
    <w:tblStylePr w:type="band1Horz">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cPr>
        <w:tcBorders>
          <w:top w:val="nil"/>
          <w:left w:val="nil"/>
          <w:bottom w:val="nil"/>
          <w:right w:val="nil"/>
          <w:insideH w:val="nil"/>
          <w:insideV w:val="nil"/>
        </w:tcBorders>
        <w:shd w:val="clear" w:color="auto" w:fill="e36c0a" w:themeFill="accent6" w:themeFillShade="BF"/>
      </w:tcPr>
    </w:tblStylePr>
    <w:tblStylePr w:type="band1Horz">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000000" w:themeFill="text1" w:themeFillShade="99"/>
      </w:tcPr>
    </w:tblStylePr>
    <w:tblStylePr w:type="firstCol">
      <w:rPr>
        <w:color w:val="ffffff" w:themeColor="background1"/>
      </w:r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c4c74" w:themeFill="accent1" w:themeFillShade="99"/>
      </w:tcPr>
    </w:tblStylePr>
    <w:tblStylePr w:type="firstCol">
      <w:rPr>
        <w:color w:val="ffffff" w:themeColor="background1"/>
      </w:r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cPr>
        <w:tcBorders>
          <w:top w:val="nil"/>
          <w:left w:val="nil"/>
          <w:bottom w:val="nil"/>
          <w:right w:val="nil"/>
          <w:insideH w:val="nil"/>
          <w:insideV w:val="nil"/>
        </w:tcBorders>
        <w:shd w:val="clear" w:color="auto" w:fill="2c4c74" w:themeFill="accent1" w:themeFillShade="99"/>
      </w:tcPr>
    </w:tblStylePr>
    <w:tblStylePr w:type="band1Vert">
      <w:tcPr>
        <w:shd w:val="clear" w:color="auto" w:fill="b8cce4" w:themeFill="accent1" w:themeFillTint="66"/>
      </w:tcPr>
    </w:tblStylePr>
    <w:tblStylePr w:type="band1Horz">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772c2a" w:themeFill="accent2" w:themeFillShade="99"/>
      </w:tcPr>
    </w:tblStylePr>
    <w:tblStylePr w:type="firstCol">
      <w:rPr>
        <w:color w:val="ffffff" w:themeColor="background1"/>
      </w:r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5e7530" w:themeFill="accent3" w:themeFillShade="99"/>
      </w:tcPr>
    </w:tblStylePr>
    <w:tblStylePr w:type="firstCol">
      <w:rPr>
        <w:color w:val="ffffff" w:themeColor="background1"/>
      </w:r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4c3b62" w:themeFill="accent4" w:themeFillShade="99"/>
      </w:tcPr>
    </w:tblStylePr>
    <w:tblStylePr w:type="firstCol">
      <w:rPr>
        <w:color w:val="ffffff" w:themeColor="background1"/>
      </w:r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cPr>
        <w:tcBorders>
          <w:top w:val="nil"/>
          <w:left w:val="nil"/>
          <w:bottom w:val="nil"/>
          <w:right w:val="nil"/>
          <w:insideH w:val="nil"/>
          <w:insideV w:val="nil"/>
        </w:tcBorders>
        <w:shd w:val="clear" w:color="auto" w:fill="4c3b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76a7c" w:themeFill="accent5" w:themeFillShade="99"/>
      </w:tcPr>
    </w:tblStylePr>
    <w:tblStylePr w:type="firstCol">
      <w:rPr>
        <w:color w:val="ffffff" w:themeColor="background1"/>
      </w:r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b65608" w:themeFill="accent6" w:themeFillShade="99"/>
      </w:tcPr>
    </w:tblStylePr>
    <w:tblStylePr w:type="firstCol">
      <w:rPr>
        <w:color w:val="ffffff" w:themeColor="background1"/>
      </w:r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cPr>
        <w:tcBorders>
          <w:top w:val="nil"/>
          <w:left w:val="nil"/>
          <w:bottom w:val="nil"/>
          <w:right w:val="nil"/>
          <w:insideH w:val="nil"/>
          <w:insideV w:val="nil"/>
        </w:tcBorders>
        <w:shd w:val="clear" w:color="auto" w:fill="b65608"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6e6e6" w:themeFill="tex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hemeFill="text1" w:themeFillTint="3F"/>
      </w:tcPr>
    </w:tblStylePr>
    <w:tblStylePr w:type="band1Horz">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2f8" w:themeFill="accen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8eded" w:themeFill="accent2"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hemeFill="accent2" w:themeFillTint="3F"/>
      </w:tcPr>
    </w:tblStylePr>
    <w:tblStylePr w:type="band1Horz">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5f8ee" w:themeFill="accent3" w:themeFillTint="19"/>
    </w:tcPr>
    <w:tblStylePr w:type="firstRow">
      <w:rPr>
        <w:b/>
        <w:bCs/>
        <w:color w:val="ffffff" w:themeColor="background1"/>
      </w:r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2eff6" w:themeFill="accent4" w:themeFillTint="19"/>
    </w:tcPr>
    <w:tblStylePr w:type="firstRow">
      <w:rPr>
        <w:b/>
        <w:bCs/>
        <w:color w:val="ffffff" w:themeColor="background1"/>
      </w:r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6f9" w:themeFill="accent5" w:themeFillTint="19"/>
    </w:tcPr>
    <w:tblStylePr w:type="firstRow">
      <w:rPr>
        <w:b/>
        <w:bCs/>
        <w:color w:val="ffffff" w:themeColor="background1"/>
      </w:r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hemeFill="accent5" w:themeFillTint="3F"/>
      </w:tcPr>
    </w:tblStylePr>
    <w:tblStylePr w:type="band1Horz">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ef4ec" w:themeFill="accent6" w:themeFillTint="19"/>
    </w:tcPr>
    <w:tblStylePr w:type="firstRow">
      <w:rPr>
        <w:b/>
        <w:bCs/>
        <w:color w:val="ffffff" w:themeColor="background1"/>
      </w:r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hemeFill="accent6" w:themeFillTint="3F"/>
      </w:tcPr>
    </w:tblStylePr>
    <w:tblStylePr w:type="band1Horz">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rPr>
      <w:tcPr>
        <w:shd w:val="clear" w:color="auto" w:fill="999999" w:themeFill="text1" w:themeFillTint="66"/>
      </w:tcPr>
    </w:tblStylePr>
    <w:tblStylePr w:type="firstCol">
      <w:rPr>
        <w:color w:val="ffffff" w:themeColor="background1"/>
      </w:rPr>
      <w:tcPr>
        <w:shd w:val="clear" w:color="auto" w:fill="000000" w:themeFill="text1" w:themeFillShade="BF"/>
      </w:tcPr>
    </w:tblStylePr>
    <w:tblStylePr w:type="lastCol">
      <w:rPr>
        <w:color w:val="ffffff" w:themeColor="background1"/>
      </w:rPr>
      <w:tcPr>
        <w:shd w:val="clear" w:color="auto" w:fill="000000" w:themeFill="text1" w:themeFillShade="BF"/>
      </w:tc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rPr>
      <w:tcPr>
        <w:shd w:val="clear" w:color="auto" w:fill="b8cce4" w:themeFill="accent1" w:themeFillTint="66"/>
      </w:tcPr>
    </w:tblStylePr>
    <w:tblStylePr w:type="firstCol">
      <w:rPr>
        <w:color w:val="ffffff" w:themeColor="background1"/>
      </w:rPr>
      <w:tcPr>
        <w:shd w:val="clear" w:color="auto" w:fill="365f91" w:themeFill="accent1" w:themeFillShade="BF"/>
      </w:tcPr>
    </w:tblStylePr>
    <w:tblStylePr w:type="lastCol">
      <w:rPr>
        <w:color w:val="ffffff" w:themeColor="background1"/>
      </w:rPr>
      <w:tcPr>
        <w:shd w:val="clear" w:color="auto" w:fill="365f91" w:themeFill="accent1" w:themeFillShade="BF"/>
      </w:tc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rPr>
      <w:tcPr>
        <w:shd w:val="clear" w:color="auto" w:fill="e5b8b7" w:themeFill="accent2" w:themeFillTint="66"/>
      </w:tcPr>
    </w:tblStylePr>
    <w:tblStylePr w:type="firstCol">
      <w:rPr>
        <w:color w:val="ffffff" w:themeColor="background1"/>
      </w:rPr>
      <w:tcPr>
        <w:shd w:val="clear" w:color="auto" w:fill="943634" w:themeFill="accent2" w:themeFillShade="BF"/>
      </w:tcPr>
    </w:tblStylePr>
    <w:tblStylePr w:type="lastCol">
      <w:rPr>
        <w:color w:val="ffffff" w:themeColor="background1"/>
      </w:rPr>
      <w:tcPr>
        <w:shd w:val="clear" w:color="auto" w:fill="9436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rPr>
      <w:tcPr>
        <w:shd w:val="clear" w:color="auto" w:fill="d6e3bc" w:themeFill="accent3" w:themeFillTint="66"/>
      </w:tcPr>
    </w:tblStylePr>
    <w:tblStylePr w:type="firstCol">
      <w:rPr>
        <w:color w:val="ffffff" w:themeColor="background1"/>
      </w:rPr>
      <w:tcPr>
        <w:shd w:val="clear" w:color="auto" w:fill="76923c" w:themeFill="accent3" w:themeFillShade="BF"/>
      </w:tcPr>
    </w:tblStylePr>
    <w:tblStylePr w:type="lastCol">
      <w:rPr>
        <w:color w:val="ffffff" w:themeColor="background1"/>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rPr>
      <w:tcPr>
        <w:shd w:val="clear" w:color="auto" w:fill="ccc0d9" w:themeFill="accent4" w:themeFillTint="66"/>
      </w:tcPr>
    </w:tblStylePr>
    <w:tblStylePr w:type="firstCol">
      <w:rPr>
        <w:color w:val="ffffff" w:themeColor="background1"/>
      </w:rPr>
      <w:tcPr>
        <w:shd w:val="clear" w:color="auto" w:fill="5f497a" w:themeFill="accent4" w:themeFillShade="BF"/>
      </w:tcPr>
    </w:tblStylePr>
    <w:tblStylePr w:type="lastCol">
      <w:rPr>
        <w:color w:val="ffffff" w:themeColor="background1"/>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rPr>
      <w:tcPr>
        <w:shd w:val="clear" w:color="auto" w:fill="b6dde8" w:themeFill="accent5" w:themeFillTint="66"/>
      </w:tcPr>
    </w:tblStylePr>
    <w:tblStylePr w:type="firstCol">
      <w:rPr>
        <w:color w:val="ffffff" w:themeColor="background1"/>
      </w:rPr>
      <w:tcPr>
        <w:shd w:val="clear" w:color="auto" w:fill="31849b" w:themeFill="accent5" w:themeFillShade="BF"/>
      </w:tcPr>
    </w:tblStylePr>
    <w:tblStylePr w:type="lastCol">
      <w:rPr>
        <w:color w:val="ffffff" w:themeColor="background1"/>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rPr>
      <w:tcPr>
        <w:shd w:val="clear" w:color="auto" w:fill="fbd4b4" w:themeFill="accent6" w:themeFillTint="66"/>
      </w:tcPr>
    </w:tblStylePr>
    <w:tblStylePr w:type="firstCol">
      <w:rPr>
        <w:color w:val="ffffff" w:themeColor="background1"/>
      </w:rPr>
      <w:tcPr>
        <w:shd w:val="clear" w:color="auto" w:fill="e36c0a" w:themeFill="accent6" w:themeFillShade="BF"/>
      </w:tcPr>
    </w:tblStylePr>
    <w:tblStylePr w:type="lastCol">
      <w:rPr>
        <w:color w:val="ffffff" w:themeColor="background1"/>
      </w:rPr>
      <w:tcPr>
        <w:shd w:val="clear" w:color="auto" w:fill="e36c0a"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CharactersWithSpaces>0</CharactersWithSpaces>
  <Application>ONLYOFFICE/9.3.1.8</Application>
  <DocSecurity>0</DocSecurity>
  <Lines>0</Lines>
  <Paragraphs>0</Paragraphs>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