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Nodus Website Direction - Revised Homepage Build Brief</w:t>
      </w:r>
    </w:p>
    <w:p>
      <w:pPr>
        <w:spacing w:after="80"/>
      </w:pPr>
      <w:r>
        <w:rPr>
          <w:b w:val="0"/>
        </w:rPr>
        <w:t>Updated to reflect the latest build feedback: hero graph video behavior, Section 2 callout and trace timing, Section 3 background/trace/callout updates, Section 4 layer label guidance, and new benefit and trust sections before the CTA.</w:t>
      </w:r>
    </w:p>
    <w:p>
      <w:pPr>
        <w:pStyle w:val="Heading1"/>
        <w:spacing w:after="120" w:before="240"/>
      </w:pPr>
      <w:r>
        <w:t>Design Tokens and Type System</w:t>
      </w:r>
    </w:p>
    <w:p>
      <w:pPr>
        <w:spacing w:after="80"/>
      </w:pPr>
      <w:r>
        <w:rPr>
          <w:b w:val="0"/>
        </w:rPr>
        <w:t>Primary dark: #0B1220 / Ink Navy</w:t>
      </w:r>
    </w:p>
    <w:p>
      <w:pPr>
        <w:spacing w:after="80"/>
      </w:pPr>
      <w:r>
        <w:rPr>
          <w:b w:val="0"/>
        </w:rPr>
        <w:t>Secondary dark: #101a30 / Deep Blue. Use for dark support sections when needed to create depth while keeping the homepage in a cohesive dark-mode system.</w:t>
      </w:r>
    </w:p>
    <w:p>
      <w:pPr>
        <w:spacing w:after="80"/>
      </w:pPr>
      <w:r>
        <w:rPr>
          <w:b w:val="0"/>
        </w:rPr>
        <w:t>Section 3 image-match background: #0e172c. Use this for the Greater Visibility section background so the supplied graphic blends seamlessly into the section.</w:t>
      </w:r>
    </w:p>
    <w:p>
      <w:pPr>
        <w:spacing w:after="80"/>
      </w:pPr>
      <w:r>
        <w:rPr>
          <w:b w:val="0"/>
        </w:rPr>
        <w:t>Vector Green: #5ECD48</w:t>
      </w:r>
    </w:p>
    <w:p>
      <w:pPr>
        <w:spacing w:after="80"/>
      </w:pPr>
      <w:r>
        <w:rPr>
          <w:b w:val="0"/>
        </w:rPr>
        <w:t>Lime Glow: #C7FD69</w:t>
      </w:r>
    </w:p>
    <w:p>
      <w:pPr>
        <w:spacing w:after="80"/>
      </w:pPr>
      <w:r>
        <w:rPr>
          <w:b w:val="0"/>
        </w:rPr>
        <w:t>Concrete Grey: #D3D3D3</w:t>
      </w:r>
    </w:p>
    <w:p>
      <w:pPr>
        <w:spacing w:after="80"/>
      </w:pPr>
      <w:r>
        <w:rPr>
          <w:b w:val="0"/>
        </w:rPr>
        <w:t>Error Red: #ff4444</w:t>
      </w:r>
    </w:p>
    <w:p>
      <w:pPr>
        <w:spacing w:after="80"/>
      </w:pPr>
      <w:r>
        <w:rPr>
          <w:b w:val="0"/>
        </w:rPr>
        <w:t>White: #ffffff</w:t>
      </w:r>
    </w:p>
    <w:p>
      <w:pPr>
        <w:pStyle w:val="CodeBlock"/>
        <w:spacing w:after="80"/>
      </w:pPr>
      <w:r>
        <w:t>:root {</w:t>
      </w:r>
    </w:p>
    <w:p>
      <w:pPr>
        <w:pStyle w:val="CodeBlock"/>
        <w:spacing w:after="80"/>
      </w:pPr>
      <w:r>
        <w:t xml:space="preserve">  --ink-navy:      #0B1220;</w:t>
      </w:r>
    </w:p>
    <w:p>
      <w:pPr>
        <w:pStyle w:val="CodeBlock"/>
        <w:spacing w:after="80"/>
      </w:pPr>
      <w:r>
        <w:t xml:space="preserve">  --deep-blue:     #101a30;</w:t>
      </w:r>
    </w:p>
    <w:p>
      <w:pPr>
        <w:pStyle w:val="CodeBlock"/>
        <w:spacing w:after="80"/>
      </w:pPr>
      <w:r>
        <w:t xml:space="preserve">  --visibility-bg: #0e172c;</w:t>
      </w:r>
    </w:p>
    <w:p>
      <w:pPr>
        <w:pStyle w:val="CodeBlock"/>
        <w:spacing w:after="80"/>
      </w:pPr>
      <w:r>
        <w:t xml:space="preserve">  --vector-green:  #5ECD48;</w:t>
      </w:r>
    </w:p>
    <w:p>
      <w:pPr>
        <w:pStyle w:val="CodeBlock"/>
        <w:spacing w:after="80"/>
      </w:pPr>
      <w:r>
        <w:t xml:space="preserve">  --lime-glow:     #C7FD69;</w:t>
      </w:r>
    </w:p>
    <w:p>
      <w:pPr>
        <w:pStyle w:val="CodeBlock"/>
        <w:spacing w:after="80"/>
      </w:pPr>
      <w:r>
        <w:t xml:space="preserve">  --concrete-grey: #D3D3D3;</w:t>
      </w:r>
    </w:p>
    <w:p>
      <w:pPr>
        <w:pStyle w:val="CodeBlock"/>
        <w:spacing w:after="80"/>
      </w:pPr>
      <w:r>
        <w:t xml:space="preserve">  --error-red:     #ff4444;</w:t>
      </w:r>
    </w:p>
    <w:p>
      <w:pPr>
        <w:pStyle w:val="CodeBlock"/>
        <w:spacing w:after="80"/>
      </w:pPr>
      <w:r>
        <w:t xml:space="preserve">  --white:         #ffffff;</w:t>
      </w:r>
    </w:p>
    <w:p>
      <w:pPr>
        <w:pStyle w:val="CodeBlock"/>
        <w:spacing w:after="80"/>
      </w:pPr>
      <w:r>
        <w:t>}</w:t>
      </w:r>
    </w:p>
    <w:p>
      <w:pPr>
        <w:pStyle w:val="Heading2"/>
        <w:spacing w:after="120" w:before="240"/>
      </w:pPr>
      <w:r>
        <w:t>Typography</w:t>
      </w:r>
    </w:p>
    <w:p>
      <w:pPr>
        <w:pStyle w:val="ListBullet"/>
        <w:spacing w:after="80"/>
      </w:pPr>
      <w:r>
        <w:t>DM Sans: H1, H2, H3, body, and support copy.</w:t>
      </w:r>
    </w:p>
    <w:p>
      <w:pPr>
        <w:pStyle w:val="ListBullet"/>
        <w:spacing w:after="80"/>
      </w:pPr>
      <w:r>
        <w:t>IBM Plex Mono: eyebrows, CTAs, chain labels, system labels, and small technical tags. Do not use it for body copy.</w:t>
      </w:r>
    </w:p>
    <w:p>
      <w:pPr>
        <w:pStyle w:val="ListBullet"/>
        <w:spacing w:after="80"/>
      </w:pPr>
      <w:r>
        <w:t>Headlines should use tight tracking around -0.02em. Eyebrows and CTAs should use expanded/wide tracking around 0.08em to 0.14em.</w:t>
      </w:r>
    </w:p>
    <w:p>
      <w:pPr>
        <w:pStyle w:val="ListBullet"/>
        <w:spacing w:after="80"/>
      </w:pPr>
      <w:r>
        <w:t>Hero headline is the only H1-sized headline.</w:t>
      </w:r>
    </w:p>
    <w:p>
      <w:pPr>
        <w:pStyle w:val="ListBullet"/>
        <w:spacing w:after="80"/>
      </w:pPr>
      <w:r>
        <w:t>All non-hero section headlines should use H2 sizing and should be clearly smaller than the hero H1, roughly 5-7 points smaller in rendered scale. Do not let Section 2, Section 3, Section 4, Section 5, Section 6, or Section 7 headlines appear hero-sized.</w:t>
      </w:r>
    </w:p>
    <w:p>
      <w:pPr>
        <w:pStyle w:val="ListBullet"/>
        <w:spacing w:after="80"/>
      </w:pPr>
      <w:r>
        <w:t>Body copy and subheads on dark backgrounds should be white or near-white, not muted grey when the copy is important to comprehension. Use rgba(255,255,255,0.88) as the default for primary subheads/body on dark sections.</w:t>
      </w:r>
    </w:p>
    <w:p>
      <w:pPr>
        <w:pStyle w:val="Heading2"/>
        <w:spacing w:after="120" w:before="240"/>
      </w:pPr>
      <w:r>
        <w:t>Containers</w:t>
      </w:r>
    </w:p>
    <w:p>
      <w:pPr>
        <w:pStyle w:val="CodeBlock"/>
        <w:spacing w:after="80"/>
      </w:pPr>
      <w:r>
        <w:t>.story-container,</w:t>
      </w:r>
    </w:p>
    <w:p>
      <w:pPr>
        <w:pStyle w:val="CodeBlock"/>
        <w:spacing w:after="80"/>
      </w:pPr>
      <w:r>
        <w:t>.hero-inner,</w:t>
      </w:r>
    </w:p>
    <w:p>
      <w:pPr>
        <w:pStyle w:val="CodeBlock"/>
        <w:spacing w:after="80"/>
      </w:pPr>
      <w:r>
        <w:t>.section-inner,</w:t>
      </w:r>
    </w:p>
    <w:p>
      <w:pPr>
        <w:pStyle w:val="CodeBlock"/>
        <w:spacing w:after="80"/>
      </w:pPr>
      <w:r>
        <w:t>.chain-scene,</w:t>
      </w:r>
    </w:p>
    <w:p>
      <w:pPr>
        <w:pStyle w:val="CodeBlock"/>
        <w:spacing w:after="80"/>
      </w:pPr>
      <w:r>
        <w:t>.chain-composition {</w:t>
      </w:r>
    </w:p>
    <w:p>
      <w:pPr>
        <w:pStyle w:val="CodeBlock"/>
        <w:spacing w:after="80"/>
      </w:pPr>
      <w:r>
        <w:t xml:space="preserve">  width: min(1600px, calc(100vw - 96px));</w:t>
      </w:r>
    </w:p>
    <w:p>
      <w:pPr>
        <w:pStyle w:val="CodeBlock"/>
        <w:spacing w:after="80"/>
      </w:pPr>
      <w:r>
        <w:t xml:space="preserve">  margin: 0 auto;</w:t>
      </w:r>
    </w:p>
    <w:p>
      <w:pPr>
        <w:pStyle w:val="CodeBlock"/>
        <w:spacing w:after="80"/>
      </w:pPr>
      <w:r>
        <w:t>}</w:t>
      </w:r>
    </w:p>
    <w:p>
      <w:pPr>
        <w:pStyle w:val="CodeBlock"/>
        <w:spacing w:after="80"/>
      </w:pPr>
    </w:p>
    <w:p>
      <w:pPr>
        <w:pStyle w:val="CodeBlock"/>
        <w:spacing w:after="80"/>
      </w:pPr>
      <w:r>
        <w:t>@media (max-width: 768px) {</w:t>
      </w:r>
    </w:p>
    <w:p>
      <w:pPr>
        <w:pStyle w:val="CodeBlock"/>
        <w:spacing w:after="80"/>
      </w:pPr>
      <w:r>
        <w:t xml:space="preserve">  .story-container,</w:t>
      </w:r>
    </w:p>
    <w:p>
      <w:pPr>
        <w:pStyle w:val="CodeBlock"/>
        <w:spacing w:after="80"/>
      </w:pPr>
      <w:r>
        <w:t xml:space="preserve">  .hero-inner,</w:t>
      </w:r>
    </w:p>
    <w:p>
      <w:pPr>
        <w:pStyle w:val="CodeBlock"/>
        <w:spacing w:after="80"/>
      </w:pPr>
      <w:r>
        <w:t xml:space="preserve">  .section-inner,</w:t>
      </w:r>
    </w:p>
    <w:p>
      <w:pPr>
        <w:pStyle w:val="CodeBlock"/>
        <w:spacing w:after="80"/>
      </w:pPr>
      <w:r>
        <w:t xml:space="preserve">  .chain-scene,</w:t>
      </w:r>
    </w:p>
    <w:p>
      <w:pPr>
        <w:pStyle w:val="CodeBlock"/>
        <w:spacing w:after="80"/>
      </w:pPr>
      <w:r>
        <w:t xml:space="preserve">  .chain-composition {</w:t>
      </w:r>
    </w:p>
    <w:p>
      <w:pPr>
        <w:pStyle w:val="CodeBlock"/>
        <w:spacing w:after="80"/>
      </w:pPr>
      <w:r>
        <w:t xml:space="preserve">    width: min(calc(100% - 40px), 1600px);</w:t>
      </w:r>
    </w:p>
    <w:p>
      <w:pPr>
        <w:pStyle w:val="CodeBlock"/>
        <w:spacing w:after="80"/>
      </w:pPr>
      <w:r>
        <w:t xml:space="preserve">  }</w:t>
      </w:r>
    </w:p>
    <w:p>
      <w:pPr>
        <w:pStyle w:val="CodeBlock"/>
        <w:spacing w:after="80"/>
      </w:pPr>
      <w:r>
        <w:t>}</w:t>
      </w:r>
    </w:p>
    <w:p>
      <w:pPr>
        <w:pStyle w:val="ListBullet"/>
        <w:spacing w:after="80"/>
      </w:pPr>
      <w:r>
        <w:t>The hero copy block can be constrained to max-width: 680px. The overall container should not be constrained to 680px.</w:t>
      </w:r>
    </w:p>
    <w:p>
      <w:pPr>
        <w:pStyle w:val="ListBullet"/>
        <w:spacing w:after="80"/>
      </w:pPr>
      <w:r>
        <w:t>Use generous vertical spacing. This should feel premium and controlled, not like a dense landing page trying to explain everything at once.</w:t>
      </w:r>
    </w:p>
    <w:p>
      <w:pPr>
        <w:pStyle w:val="Heading1"/>
        <w:spacing w:after="120" w:before="240"/>
      </w:pPr>
      <w:r>
        <w:t>Navigation and Page-Level Structure</w:t>
      </w:r>
    </w:p>
    <w:p>
      <w:pPr>
        <w:pStyle w:val="ListBullet"/>
        <w:spacing w:after="80"/>
      </w:pPr>
      <w:r>
        <w:t>Main nav should stay simple: How It Works, For Companies, For Accounting Firms, About, Contact. Resources can be included if launch content exists.</w:t>
      </w:r>
    </w:p>
    <w:p>
      <w:pPr>
        <w:pStyle w:val="ListBullet"/>
        <w:spacing w:after="80"/>
      </w:pPr>
      <w:r>
        <w:t>Use the logo file from the Website Assets folder: Nodus Logo White.svg. Make sure the logo path is correct and the header logo renders properly.</w:t>
      </w:r>
    </w:p>
    <w:p>
      <w:pPr>
        <w:pStyle w:val="ListBullet"/>
        <w:spacing w:after="80"/>
      </w:pPr>
      <w:r>
        <w:t>The homepage should speak primarily to high-growth / pre-IPO companies while remaining safe and credible for accounting firm partners to share.</w:t>
      </w:r>
    </w:p>
    <w:p>
      <w:pPr>
        <w:pStyle w:val="ListBullet"/>
        <w:spacing w:after="80"/>
      </w:pPr>
      <w:r>
        <w:t>Avoid naming offshore providers or low-cost competitors. Value should feel premium and cost-effective, not cheap.</w:t>
      </w:r>
    </w:p>
    <w:p>
      <w:pPr>
        <w:pStyle w:val="ListBullet"/>
        <w:spacing w:after="80"/>
      </w:pPr>
      <w:r>
        <w:t>Remove the standalone Provision Package section from the homepage. Section 2 and Section 3 now cover the package and drill-down story. Preserve that copy for a future services page instead.</w:t>
      </w:r>
    </w:p>
    <w:p>
      <w:pPr>
        <w:pStyle w:val="Heading1"/>
        <w:spacing w:after="120" w:before="240"/>
      </w:pPr>
      <w:r>
        <w:t>Section 1 - Hero</w:t>
      </w:r>
    </w:p>
    <w:p>
      <w:pPr>
        <w:spacing w:after="80"/>
      </w:pPr>
      <w:r>
        <w:rPr>
          <w:b w:val="0"/>
        </w:rPr>
        <w:t>Background: Ink Navy #0B1220</w:t>
      </w:r>
    </w:p>
    <w:p>
      <w:pPr>
        <w:spacing w:after="80"/>
      </w:pPr>
      <w:r>
        <w:rPr>
          <w:b w:val="0"/>
        </w:rPr>
        <w:t>Role: Make the business immediately clear with a graph-led opening that feels alive, technical, and distinct to Nodus.</w:t>
      </w:r>
    </w:p>
    <w:p>
      <w:pPr>
        <w:pStyle w:val="Heading2"/>
        <w:spacing w:after="120" w:before="240"/>
      </w:pPr>
      <w:r>
        <w:t>Hero Layout</w:t>
      </w:r>
    </w:p>
    <w:p>
      <w:pPr>
        <w:pStyle w:val="ListBullet"/>
        <w:spacing w:after="80"/>
      </w:pPr>
      <w:r>
        <w:t>Dark Ink Navy background.</w:t>
      </w:r>
    </w:p>
    <w:p>
      <w:pPr>
        <w:pStyle w:val="ListBullet"/>
        <w:spacing w:after="80"/>
      </w:pPr>
      <w:r>
        <w:t>Copy on the left.</w:t>
      </w:r>
    </w:p>
    <w:p>
      <w:pPr>
        <w:pStyle w:val="ListBullet"/>
        <w:spacing w:after="80"/>
      </w:pPr>
      <w:r>
        <w:t>Large graph field on the right.</w:t>
      </w:r>
    </w:p>
    <w:p>
      <w:pPr>
        <w:pStyle w:val="ListBullet"/>
        <w:spacing w:after="80"/>
      </w:pPr>
      <w:r>
        <w:t>No hero eyebrow above the headline.</w:t>
      </w:r>
    </w:p>
    <w:p>
      <w:pPr>
        <w:pStyle w:val="ListBullet"/>
        <w:spacing w:after="80"/>
      </w:pPr>
      <w:r>
        <w:t>Strong, simple headline/subhead/CTA structure.</w:t>
      </w:r>
    </w:p>
    <w:p>
      <w:pPr>
        <w:pStyle w:val="ListBullet"/>
        <w:spacing w:after="80"/>
      </w:pPr>
      <w:r>
        <w:t>Graph should feel like a dense reasoning system that assembles and lands, not a sparse dot field, a static screenshot, or a looping push-in/pull-out video.</w:t>
      </w:r>
    </w:p>
    <w:p>
      <w:pPr>
        <w:pStyle w:val="Heading2"/>
        <w:spacing w:after="120" w:before="240"/>
      </w:pPr>
      <w:r>
        <w:t>Hero Copy</w:t>
      </w:r>
    </w:p>
    <w:p>
      <w:pPr>
        <w:spacing w:after="80"/>
      </w:pPr>
      <w:r>
        <w:rPr>
          <w:b w:val="0"/>
        </w:rPr>
        <w:t>H1:</w:t>
      </w:r>
    </w:p>
    <w:p>
      <w:pPr>
        <w:spacing w:after="80"/>
      </w:pPr>
      <w:r>
        <w:rPr>
          <w:b w:val="0"/>
        </w:rPr>
        <w:t>ASC 740 provisions with the logic built in.</w:t>
      </w:r>
    </w:p>
    <w:p>
      <w:pPr>
        <w:spacing w:after="80"/>
      </w:pPr>
      <w:r>
        <w:rPr>
          <w:b w:val="0"/>
        </w:rPr>
        <w:t>Style "logic built in." in Vector Green #5ECD48.</w:t>
      </w:r>
    </w:p>
    <w:p>
      <w:pPr>
        <w:spacing w:after="80"/>
      </w:pPr>
      <w:r>
        <w:rPr>
          <w:b w:val="0"/>
        </w:rPr>
        <w:t>Subhead:</w:t>
      </w:r>
    </w:p>
    <w:p>
      <w:pPr>
        <w:spacing w:after="80"/>
      </w:pPr>
      <w:r>
        <w:rPr>
          <w:b w:val="0"/>
        </w:rPr>
        <w:t>Nodus prepares audit-ready ASC 740 provisions with the logic layer intact, so your team can see the full tax picture and trace the detail behind every number.</w:t>
      </w:r>
    </w:p>
    <w:p>
      <w:pPr>
        <w:spacing w:after="80"/>
      </w:pPr>
      <w:r>
        <w:rPr>
          <w:b w:val="0"/>
        </w:rPr>
        <w:t>Primary CTA: Schedule a Consultation</w:t>
      </w:r>
    </w:p>
    <w:p>
      <w:pPr>
        <w:spacing w:after="80"/>
      </w:pPr>
      <w:r>
        <w:rPr>
          <w:b w:val="0"/>
        </w:rPr>
        <w:t>Secondary CTA: See the Nodus Difference</w:t>
      </w:r>
    </w:p>
    <w:p>
      <w:pPr>
        <w:pStyle w:val="Heading2"/>
        <w:spacing w:after="120" w:before="240"/>
      </w:pPr>
      <w:r>
        <w:t>Hero Graph Video Implementation Direction</w:t>
      </w:r>
    </w:p>
    <w:p>
      <w:pPr>
        <w:pStyle w:val="ListBullet"/>
        <w:spacing w:after="80"/>
      </w:pPr>
      <w:r>
        <w:t>Use graph.mp4 as the hero graph intro media.</w:t>
      </w:r>
    </w:p>
    <w:p>
      <w:pPr>
        <w:pStyle w:val="ListBullet"/>
        <w:spacing w:after="80"/>
      </w:pPr>
      <w:r>
        <w:t>The video should autoplay once on initial page load, muted, playsinline, and preload when appropriate.</w:t>
      </w:r>
    </w:p>
    <w:p>
      <w:pPr>
        <w:pStyle w:val="ListBullet"/>
        <w:spacing w:after="80"/>
      </w:pPr>
      <w:r>
        <w:t>Do not loop the full intro video. The expansion/assembly should happen once, then land on the compact final graph state.</w:t>
      </w:r>
    </w:p>
    <w:p>
      <w:pPr>
        <w:pStyle w:val="ListBullet"/>
        <w:spacing w:after="80"/>
      </w:pPr>
      <w:r>
        <w:t>When the video ends, keep the final compact graph state visible. Pause on the final frame or fade to Nodus Graph Still.png as the final-state fallback if browser support makes the final frame unreliable.</w:t>
      </w:r>
    </w:p>
    <w:p>
      <w:pPr>
        <w:pStyle w:val="ListBullet"/>
        <w:spacing w:after="80"/>
      </w:pPr>
      <w:r>
        <w:t>Do not restart the video or loop the expansion. No repeated push-in or pull-out.</w:t>
      </w:r>
    </w:p>
    <w:p>
      <w:pPr>
        <w:pStyle w:val="ListBullet"/>
        <w:spacing w:after="80"/>
      </w:pPr>
      <w:r>
        <w:t>After the video lands, the graph can have a very subtle steady-state feel through a soft opacity shimmer, faint glow fluctuation, or a minimal overlay. Do not move the graph scale or position dramatically.</w:t>
      </w:r>
    </w:p>
    <w:p>
      <w:pPr>
        <w:pStyle w:val="ListBullet"/>
        <w:spacing w:after="80"/>
      </w:pPr>
      <w:r>
        <w:t>Use Nodus Graph Still.png as the poster/fallback/final-state asset. Use Hero Mock Up.png only as a layout reference for placement, scale, and composition. Do not use Hero Mock Up.png as the actual hero image.</w:t>
      </w:r>
    </w:p>
    <w:p>
      <w:pPr>
        <w:pStyle w:val="ListBullet"/>
        <w:spacing w:after="80"/>
      </w:pPr>
      <w:r>
        <w:t>Do not rebuild the graph from graph-subset.json for this pass. Do not use graph-background.html. Do not create a sparse animated dot field.</w:t>
      </w:r>
    </w:p>
    <w:p>
      <w:pPr>
        <w:pStyle w:val="ListBullet"/>
        <w:spacing w:after="80"/>
      </w:pPr>
      <w:r>
        <w:t>Keep the hero copy readable at all times.</w:t>
      </w:r>
    </w:p>
    <w:p>
      <w:pPr>
        <w:pStyle w:val="ListBullet"/>
        <w:spacing w:after="80"/>
      </w:pPr>
      <w:r>
        <w:t>For prefers-reduced-motion, do not autoplay the video. Show Nodus Graph Still.png as the static hero graph.</w:t>
      </w:r>
    </w:p>
    <w:p>
      <w:pPr>
        <w:pStyle w:val="Heading2"/>
        <w:spacing w:after="120" w:before="240"/>
      </w:pPr>
      <w:r>
        <w:t>Hero-to-Section-2 Transition</w:t>
      </w:r>
    </w:p>
    <w:p>
      <w:pPr>
        <w:spacing w:after="80"/>
      </w:pPr>
      <w:r>
        <w:rPr>
          <w:b w:val="0"/>
        </w:rPr>
        <w:t>Remove the special Hero-to-Section-2 color transition. The hero should end naturally and Section 2 should begin naturally. Do not create a dark-to-light reveal panel, rising white layer, pinned handoff, or special transition effect between Section 1 and Section 2.</w:t>
      </w:r>
    </w:p>
    <w:p>
      <w:pPr>
        <w:pStyle w:val="Heading1"/>
        <w:spacing w:after="120" w:before="240"/>
      </w:pPr>
      <w:r>
        <w:t>Section 2 - The Nodus Difference</w:t>
      </w:r>
    </w:p>
    <w:p>
      <w:pPr>
        <w:spacing w:after="80"/>
      </w:pPr>
      <w:r>
        <w:rPr>
          <w:b w:val="0"/>
        </w:rPr>
        <w:t>Background: White</w:t>
      </w:r>
    </w:p>
    <w:p>
      <w:pPr>
        <w:spacing w:after="80"/>
      </w:pPr>
      <w:r>
        <w:rPr>
          <w:b w:val="0"/>
        </w:rPr>
        <w:t>Role: Show the core Nodus difference. The client receives a completed ASC 740 provision package, but the reasoning layer underneath remains visible, traceable, and useful.</w:t>
      </w:r>
    </w:p>
    <w:p>
      <w:pPr>
        <w:spacing w:after="80"/>
      </w:pPr>
      <w:r>
        <w:rPr>
          <w:b w:val="0"/>
        </w:rPr>
        <w:t>Reference Asset: Use Section 2 - Provision With Logic.png from the Website/website assets folder as the right-side visual base. If a matching SVG asset is available, prefer the SVG for crispness and text fidelity. This asset is a section visual only, not a full-page layout reference.</w:t>
      </w:r>
    </w:p>
    <w:p>
      <w:pPr>
        <w:pStyle w:val="Heading2"/>
        <w:spacing w:after="120" w:before="240"/>
      </w:pPr>
      <w:r>
        <w:t>Section Layout</w:t>
      </w:r>
    </w:p>
    <w:p>
      <w:pPr>
        <w:pStyle w:val="ListBullet"/>
        <w:spacing w:after="80"/>
      </w:pPr>
      <w:r>
        <w:t>Use a two-column desktop layout.</w:t>
      </w:r>
    </w:p>
    <w:p>
      <w:pPr>
        <w:pStyle w:val="ListBullet"/>
        <w:spacing w:after="80"/>
      </w:pPr>
      <w:r>
        <w:t>Left column: section copy.</w:t>
      </w:r>
    </w:p>
    <w:p>
      <w:pPr>
        <w:pStyle w:val="ListBullet"/>
        <w:spacing w:after="80"/>
      </w:pPr>
      <w:r>
        <w:t>Right column: the provision package / logic visual, using the asset as the design source of truth.</w:t>
      </w:r>
    </w:p>
    <w:p>
      <w:pPr>
        <w:pStyle w:val="ListBullet"/>
        <w:spacing w:after="80"/>
      </w:pPr>
      <w:r>
        <w:t>Recommended desktop ratio: 38-42% copy column and 58-62% visual column.</w:t>
      </w:r>
    </w:p>
    <w:p>
      <w:pPr>
        <w:pStyle w:val="ListBullet"/>
        <w:spacing w:after="80"/>
      </w:pPr>
      <w:r>
        <w:t>On mobile, stack copy first and visual second. Scale the visual cleanly. Hide or simplify the traced line if it crowds the image.</w:t>
      </w:r>
    </w:p>
    <w:p>
      <w:pPr>
        <w:pStyle w:val="ListBullet"/>
        <w:spacing w:after="80"/>
      </w:pPr>
      <w:r>
        <w:t>The section should feel spacious and premium, not like a dense explanatory block.</w:t>
      </w:r>
    </w:p>
    <w:p>
      <w:pPr>
        <w:pStyle w:val="Heading2"/>
        <w:spacing w:after="120" w:before="240"/>
      </w:pPr>
      <w:r>
        <w:t>Copy</w:t>
      </w:r>
    </w:p>
    <w:p>
      <w:pPr>
        <w:spacing w:after="80"/>
      </w:pPr>
      <w:r>
        <w:rPr>
          <w:b w:val="0"/>
        </w:rPr>
        <w:t>Eyebrow: THE NODUS DIFFERENCE</w:t>
      </w:r>
    </w:p>
    <w:p>
      <w:pPr>
        <w:spacing w:after="80"/>
      </w:pPr>
      <w:r>
        <w:rPr>
          <w:b w:val="0"/>
        </w:rPr>
        <w:t>H2: Get the provision without losing the logic.</w:t>
      </w:r>
    </w:p>
    <w:p>
      <w:pPr>
        <w:spacing w:after="80"/>
      </w:pPr>
      <w:r>
        <w:rPr>
          <w:b w:val="0"/>
        </w:rPr>
        <w:t>Style "logic." in Vector Green #5ECD48.</w:t>
      </w:r>
    </w:p>
    <w:p>
      <w:pPr>
        <w:spacing w:after="80"/>
      </w:pPr>
      <w:r>
        <w:rPr>
          <w:b w:val="0"/>
        </w:rPr>
        <w:t>Subhead: Nodus delivers the ASC 740 provision package with the reasoning still connected, so your team can trace the numbers, answer review questions, update the work, and carry the logic forward.</w:t>
      </w:r>
    </w:p>
    <w:p>
      <w:pPr>
        <w:spacing w:after="80"/>
      </w:pPr>
      <w:r>
        <w:rPr>
          <w:b w:val="0"/>
        </w:rPr>
        <w:t>Proof line: Complete provision package + connected logic access</w:t>
      </w:r>
    </w:p>
    <w:p>
      <w:pPr>
        <w:pStyle w:val="Heading2"/>
        <w:spacing w:after="120" w:before="240"/>
      </w:pPr>
      <w:r>
        <w:t>Visual Asset Direction</w:t>
      </w:r>
    </w:p>
    <w:p>
      <w:pPr>
        <w:spacing w:after="80"/>
      </w:pPr>
      <w:r>
        <w:rPr>
          <w:b w:val="0"/>
        </w:rPr>
        <w:t>Use the visual asset for the provision package and graph base. If any package row text is rasterized in the image, the row list below is the source of truth. Do not recreate the full visual from scratch unless absolutely necessary.</w:t>
      </w:r>
    </w:p>
    <w:p>
      <w:pPr>
        <w:spacing w:after="80"/>
      </w:pPr>
      <w:r>
        <w:rPr>
          <w:b w:val="0"/>
        </w:rPr>
        <w:t>The provision package panel should include these rows:</w:t>
      </w:r>
    </w:p>
    <w:p>
      <w:pPr>
        <w:pStyle w:val="ListBullet"/>
        <w:spacing w:after="80"/>
      </w:pPr>
      <w:r>
        <w:t>Current Tax Provision</w:t>
      </w:r>
    </w:p>
    <w:p>
      <w:pPr>
        <w:pStyle w:val="ListBullet"/>
        <w:spacing w:after="80"/>
      </w:pPr>
      <w:r>
        <w:t>Deferred Tax Provision</w:t>
      </w:r>
    </w:p>
    <w:p>
      <w:pPr>
        <w:pStyle w:val="ListBullet"/>
        <w:spacing w:after="80"/>
      </w:pPr>
      <w:r>
        <w:t>Valuation Allowance Support</w:t>
      </w:r>
    </w:p>
    <w:p>
      <w:pPr>
        <w:pStyle w:val="ListBullet"/>
        <w:spacing w:after="80"/>
      </w:pPr>
      <w:r>
        <w:t>Uncertain Tax Position Support</w:t>
      </w:r>
    </w:p>
    <w:p>
      <w:pPr>
        <w:pStyle w:val="ListBullet"/>
        <w:spacing w:after="80"/>
      </w:pPr>
      <w:r>
        <w:t>Tax Footnote &amp; Disclosure Support</w:t>
      </w:r>
    </w:p>
    <w:p>
      <w:pPr>
        <w:pStyle w:val="ListBullet"/>
        <w:spacing w:after="80"/>
      </w:pPr>
      <w:r>
        <w:t>Workpaper Support &amp; Review Trail</w:t>
      </w:r>
    </w:p>
    <w:p>
      <w:pPr>
        <w:pStyle w:val="ListBullet"/>
        <w:spacing w:after="80"/>
      </w:pPr>
      <w:r>
        <w:t>Logic Access Layer</w:t>
      </w:r>
    </w:p>
    <w:p>
      <w:pPr>
        <w:spacing w:after="80"/>
      </w:pPr>
      <w:r>
        <w:rPr>
          <w:b w:val="0"/>
        </w:rPr>
        <w:t>Bottom graph-stage labels should remain:</w:t>
      </w:r>
    </w:p>
    <w:p>
      <w:pPr>
        <w:pStyle w:val="ListBullet"/>
        <w:spacing w:after="80"/>
      </w:pPr>
      <w:r>
        <w:t>Input</w:t>
      </w:r>
    </w:p>
    <w:p>
      <w:pPr>
        <w:pStyle w:val="ListBullet"/>
        <w:spacing w:after="80"/>
      </w:pPr>
      <w:r>
        <w:t>Assumption</w:t>
      </w:r>
    </w:p>
    <w:p>
      <w:pPr>
        <w:pStyle w:val="ListBullet"/>
        <w:spacing w:after="80"/>
      </w:pPr>
      <w:r>
        <w:t>Calculation</w:t>
      </w:r>
    </w:p>
    <w:p>
      <w:pPr>
        <w:pStyle w:val="ListBullet"/>
        <w:spacing w:after="80"/>
      </w:pPr>
      <w:r>
        <w:t>Support</w:t>
      </w:r>
    </w:p>
    <w:p>
      <w:pPr>
        <w:pStyle w:val="ListBullet"/>
        <w:spacing w:after="80"/>
      </w:pPr>
      <w:r>
        <w:t>Review</w:t>
      </w:r>
    </w:p>
    <w:p>
      <w:pPr>
        <w:pStyle w:val="Heading2"/>
        <w:spacing w:after="120" w:before="240"/>
      </w:pPr>
      <w:r>
        <w:t>Code Overlay Direction</w:t>
      </w:r>
    </w:p>
    <w:p>
      <w:pPr>
        <w:pStyle w:val="ListBullet"/>
        <w:spacing w:after="80"/>
      </w:pPr>
      <w:r>
        <w:t>Add a white rounded callout bubble near the upper-right of the visual. The bubble should be created in code, not baked into the image.</w:t>
      </w:r>
    </w:p>
    <w:p>
      <w:pPr>
        <w:pStyle w:val="ListBullet"/>
        <w:spacing w:after="80"/>
      </w:pPr>
      <w:r>
        <w:t>Bubble text: Why is this number here?</w:t>
      </w:r>
    </w:p>
    <w:p>
      <w:pPr>
        <w:pStyle w:val="ListBullet"/>
        <w:spacing w:after="80"/>
      </w:pPr>
      <w:r>
        <w:t>Bubble styling: white background, dark text, subtle border, soft shadow, rounded corners, and a small green outlined question icon on the left. Precise and restrained. No cartoon bounce.</w:t>
      </w:r>
    </w:p>
    <w:p>
      <w:pPr>
        <w:pStyle w:val="ListBullet"/>
        <w:spacing w:after="80"/>
      </w:pPr>
      <w:r>
        <w:t>Move the bubble closer to where the green connector/trace line begins so it feels visually connected to the start of the trace, not floating far above it.</w:t>
      </w:r>
    </w:p>
    <w:p>
      <w:pPr>
        <w:pStyle w:val="ListBullet"/>
        <w:spacing w:after="80"/>
      </w:pPr>
      <w:r>
        <w:t>Keep the bubble on the upper-right side of the Section 2 visual, clear of the provision package text, and aligned with the connector line start.</w:t>
      </w:r>
    </w:p>
    <w:p>
      <w:pPr>
        <w:pStyle w:val="ListBullet"/>
        <w:spacing w:after="80"/>
      </w:pPr>
      <w:r>
        <w:t>After moving the bubble, update the connector line so it starts from the new bubble position and connects cleanly into the first traced graph node.</w:t>
      </w:r>
    </w:p>
    <w:p>
      <w:pPr>
        <w:pStyle w:val="ListBullet"/>
        <w:spacing w:after="80"/>
      </w:pPr>
      <w:r>
        <w:t>Add a green SVG connector line that animates from the bubble down into the graph layer.</w:t>
      </w:r>
    </w:p>
    <w:p>
      <w:pPr>
        <w:pStyle w:val="ListBullet"/>
        <w:spacing w:after="80"/>
      </w:pPr>
      <w:r>
        <w:t>Add a second green SVG trace path that animates across the four marked graph nodes from Trace Node Markers.png. The marker file is only a positioning guide and should not be displayed in the final section.</w:t>
      </w:r>
    </w:p>
    <w:p>
      <w:pPr>
        <w:spacing w:after="80"/>
      </w:pPr>
      <w:r>
        <w:rPr>
          <w:b w:val="0"/>
        </w:rPr>
        <w:t>Use the following SVG coordinate system:</w:t>
      </w:r>
    </w:p>
    <w:p>
      <w:pPr>
        <w:pStyle w:val="CodeBlock"/>
        <w:spacing w:after="80"/>
      </w:pPr>
      <w:r>
        <w:t>viewBox="0 0 1147 908"</w:t>
      </w:r>
    </w:p>
    <w:p>
      <w:pPr>
        <w:spacing w:after="80"/>
      </w:pPr>
      <w:r>
        <w:rPr>
          <w:b w:val="0"/>
        </w:rPr>
        <w:t>Use these marker-derived coordinates for the trace:</w:t>
      </w:r>
    </w:p>
    <w:p>
      <w:pPr>
        <w:pStyle w:val="CodeBlock"/>
        <w:spacing w:after="80"/>
      </w:pPr>
      <w:r>
        <w:t>&lt;polyline</w:t>
      </w:r>
    </w:p>
    <w:p>
      <w:pPr>
        <w:pStyle w:val="CodeBlock"/>
        <w:spacing w:after="80"/>
      </w:pPr>
      <w:r>
        <w:t xml:space="preserve">  class="nd2-trace-path"</w:t>
      </w:r>
    </w:p>
    <w:p>
      <w:pPr>
        <w:pStyle w:val="CodeBlock"/>
        <w:spacing w:after="80"/>
      </w:pPr>
      <w:r>
        <w:t xml:space="preserve">  pathLength="1"</w:t>
      </w:r>
    </w:p>
    <w:p>
      <w:pPr>
        <w:pStyle w:val="CodeBlock"/>
        <w:spacing w:after="80"/>
      </w:pPr>
      <w:r>
        <w:t xml:space="preserve">  points="862,577 784,614 730,648 642,652"</w:t>
      </w:r>
    </w:p>
    <w:p>
      <w:pPr>
        <w:pStyle w:val="CodeBlock"/>
        <w:spacing w:after="80"/>
      </w:pPr>
      <w:r>
        <w:t>/&gt;</w:t>
      </w:r>
    </w:p>
    <w:p>
      <w:pPr>
        <w:pStyle w:val="CodeBlock"/>
        <w:spacing w:after="80"/>
      </w:pPr>
    </w:p>
    <w:p>
      <w:pPr>
        <w:pStyle w:val="CodeBlock"/>
        <w:spacing w:after="80"/>
      </w:pPr>
      <w:r>
        <w:t>&lt;circle class="nd2-node" cx="862" cy="577" r="8" /&gt;</w:t>
      </w:r>
    </w:p>
    <w:p>
      <w:pPr>
        <w:pStyle w:val="CodeBlock"/>
        <w:spacing w:after="80"/>
      </w:pPr>
      <w:r>
        <w:t>&lt;circle class="nd2-node" cx="784" cy="614" r="8" /&gt;</w:t>
      </w:r>
    </w:p>
    <w:p>
      <w:pPr>
        <w:pStyle w:val="CodeBlock"/>
        <w:spacing w:after="80"/>
      </w:pPr>
      <w:r>
        <w:t>&lt;circle class="nd2-node" cx="730" cy="648" r="8" /&gt;</w:t>
      </w:r>
    </w:p>
    <w:p>
      <w:pPr>
        <w:pStyle w:val="CodeBlock"/>
        <w:spacing w:after="80"/>
      </w:pPr>
      <w:r>
        <w:t>&lt;circle class="nd2-node" cx="642" cy="652" r="8" /&gt;</w:t>
      </w:r>
    </w:p>
    <w:p>
      <w:pPr>
        <w:spacing w:after="80"/>
      </w:pPr>
      <w:r>
        <w:rPr>
          <w:b w:val="0"/>
        </w:rPr>
        <w:t>Update the connector so it ends at the first marked node. Use the current curve as a starting point, but adjust the first coordinate to match the revised bubble placement:</w:t>
      </w:r>
    </w:p>
    <w:p>
      <w:pPr>
        <w:pStyle w:val="CodeBlock"/>
        <w:spacing w:after="80"/>
      </w:pPr>
      <w:r>
        <w:t>&lt;path</w:t>
      </w:r>
    </w:p>
    <w:p>
      <w:pPr>
        <w:pStyle w:val="CodeBlock"/>
        <w:spacing w:after="80"/>
      </w:pPr>
      <w:r>
        <w:t xml:space="preserve">  class="nd2-connector-path"</w:t>
      </w:r>
    </w:p>
    <w:p>
      <w:pPr>
        <w:pStyle w:val="CodeBlock"/>
        <w:spacing w:after="80"/>
      </w:pPr>
      <w:r>
        <w:t xml:space="preserve">  pathLength="1"</w:t>
      </w:r>
    </w:p>
    <w:p>
      <w:pPr>
        <w:pStyle w:val="CodeBlock"/>
        <w:spacing w:after="80"/>
      </w:pPr>
      <w:r>
        <w:t xml:space="preserve">  d="M [new bubble anchor] C [control point] [control point] 862 577"</w:t>
      </w:r>
    </w:p>
    <w:p>
      <w:pPr>
        <w:pStyle w:val="CodeBlock"/>
        <w:spacing w:after="80"/>
      </w:pPr>
      <w:r>
        <w:t>/&gt;</w:t>
      </w:r>
    </w:p>
    <w:p>
      <w:pPr>
        <w:spacing w:after="80"/>
      </w:pPr>
      <w:r>
        <w:rPr>
          <w:b w:val="0"/>
        </w:rPr>
        <w:t>Do not add separate animated markers, glowing circles, or pulse effects to the bottom labels. Keep the trace focused inside the graph layer only.</w:t>
      </w:r>
    </w:p>
    <w:p>
      <w:pPr>
        <w:pStyle w:val="Heading2"/>
        <w:spacing w:after="120" w:before="240"/>
      </w:pPr>
      <w:r>
        <w:t>Animation Direction</w:t>
      </w:r>
    </w:p>
    <w:p>
      <w:pPr>
        <w:pStyle w:val="ListBullet"/>
        <w:spacing w:after="80"/>
      </w:pPr>
      <w:r>
        <w:t>Trigger the animation when the section is roughly 30-40% visible in the viewport. Play once.</w:t>
      </w:r>
    </w:p>
    <w:p>
      <w:pPr>
        <w:pStyle w:val="ListBullet"/>
        <w:spacing w:after="80"/>
      </w:pPr>
      <w:r>
        <w:t>Copy fades in and moves up slightly.</w:t>
      </w:r>
    </w:p>
    <w:p>
      <w:pPr>
        <w:pStyle w:val="ListBullet"/>
        <w:spacing w:after="80"/>
      </w:pPr>
      <w:r>
        <w:t>Visual fades in and moves up slightly after the copy.</w:t>
      </w:r>
    </w:p>
    <w:p>
      <w:pPr>
        <w:pStyle w:val="ListBullet"/>
        <w:spacing w:after="80"/>
      </w:pPr>
      <w:r>
        <w:t>The question bubble fades in and scales from approximately 96% to 100%.</w:t>
      </w:r>
    </w:p>
    <w:p>
      <w:pPr>
        <w:pStyle w:val="ListBullet"/>
        <w:spacing w:after="80"/>
      </w:pPr>
      <w:r>
        <w:t>The connector line wipes from the bubble down into the graph using SVG stroke-dasharray / stroke-dashoffset.</w:t>
      </w:r>
    </w:p>
    <w:p>
      <w:pPr>
        <w:pStyle w:val="ListBullet"/>
        <w:spacing w:after="80"/>
      </w:pPr>
      <w:r>
        <w:t>Slow down the connector and trace animation. The current movement feels too fast.</w:t>
      </w:r>
    </w:p>
    <w:p>
      <w:pPr>
        <w:pStyle w:val="ListBullet"/>
        <w:spacing w:after="80"/>
      </w:pPr>
      <w:r>
        <w:t>Recommended timing: connector line draw around 1.0s-1.2s; graph trace path draw around 1.5s-1.8s.</w:t>
      </w:r>
    </w:p>
    <w:p>
      <w:pPr>
        <w:pStyle w:val="ListBullet"/>
        <w:spacing w:after="80"/>
      </w:pPr>
      <w:r>
        <w:t>Keep the delay sequence, but make the total trace moment feel slower, more deliberate, and more review-like.</w:t>
      </w:r>
    </w:p>
    <w:p>
      <w:pPr>
        <w:pStyle w:val="ListBullet"/>
        <w:spacing w:after="80"/>
      </w:pPr>
      <w:r>
        <w:t>A few node highlights can pulse along the traced path, but keep this subtle.</w:t>
      </w:r>
    </w:p>
    <w:p>
      <w:pPr>
        <w:pStyle w:val="Heading2"/>
        <w:spacing w:after="120" w:before="240"/>
      </w:pPr>
      <w:r>
        <w:t>Implementation Notes for Codex</w:t>
      </w:r>
    </w:p>
    <w:p>
      <w:pPr>
        <w:pStyle w:val="ListBullet"/>
        <w:spacing w:after="80"/>
      </w:pPr>
      <w:r>
        <w:t>Section 2 is approved except for the callout placement and animation timing refinements. Do not rebuild, restyle, refactor, or clean up Section 2 unless a small compatibility fix is required.</w:t>
      </w:r>
    </w:p>
    <w:p>
      <w:pPr>
        <w:pStyle w:val="ListBullet"/>
        <w:spacing w:after="80"/>
      </w:pPr>
      <w:r>
        <w:t>Use the current homepage as the real layout. The visual asset is a reference/base for Section 2 only.</w:t>
      </w:r>
    </w:p>
    <w:p>
      <w:pPr>
        <w:pStyle w:val="ListBullet"/>
        <w:spacing w:after="80"/>
      </w:pPr>
      <w:r>
        <w:t>Do not use the visual as a full-page layout. The left-side copy should be real HTML text, and the callout/tracing line should be overlay elements created in code.</w:t>
      </w:r>
    </w:p>
    <w:p>
      <w:pPr>
        <w:pStyle w:val="Heading1"/>
        <w:spacing w:after="120" w:before="240"/>
      </w:pPr>
      <w:r>
        <w:t>Section 3 - Greater Visibility</w:t>
      </w:r>
    </w:p>
    <w:p>
      <w:pPr>
        <w:spacing w:after="80"/>
      </w:pPr>
      <w:r>
        <w:rPr>
          <w:b w:val="0"/>
        </w:rPr>
        <w:t>Background: #0e172c</w:t>
      </w:r>
    </w:p>
    <w:p>
      <w:pPr>
        <w:spacing w:after="80"/>
      </w:pPr>
      <w:r>
        <w:rPr>
          <w:b w:val="0"/>
        </w:rPr>
        <w:t>Role: Show that Nodus gives tax and finance leaders visibility from the full ASC 740 provision view down to the source, support, calculation, judgment, prior-period logic, and business insight behind each number. This section should feel like the viewer is gaining a clearer view into the provision, not being shown another dashboard.</w:t>
      </w:r>
    </w:p>
    <w:p>
      <w:pPr>
        <w:spacing w:after="80"/>
      </w:pPr>
      <w:r>
        <w:rPr>
          <w:b w:val="0"/>
        </w:rPr>
        <w:t>Reference Asset: Use the supplied Greater Visibility image as the visual source of truth for this section. The image should be used as a large centered visual beneath the copy.</w:t>
      </w:r>
    </w:p>
    <w:p>
      <w:pPr>
        <w:spacing w:after="80"/>
      </w:pPr>
      <w:r>
        <w:rPr>
          <w:b w:val="0"/>
        </w:rPr>
        <w:t>Reference Marker File: Use Greater Visibility Trace Node Markers.png from the Website Assets folder as a positioning guide for the animated trace overlay. The marker file should not be displayed in the final section.</w:t>
      </w:r>
    </w:p>
    <w:p>
      <w:pPr>
        <w:pStyle w:val="Heading2"/>
        <w:spacing w:after="120" w:before="240"/>
      </w:pPr>
      <w:r>
        <w:t>Layout</w:t>
      </w:r>
    </w:p>
    <w:p>
      <w:pPr>
        <w:pStyle w:val="ListBullet"/>
        <w:spacing w:after="80"/>
      </w:pPr>
      <w:r>
        <w:t>Use a centered intro layout rather than a split two-column layout.</w:t>
      </w:r>
    </w:p>
    <w:p>
      <w:pPr>
        <w:pStyle w:val="ListBullet"/>
        <w:spacing w:after="80"/>
      </w:pPr>
      <w:r>
        <w:t>Eyebrow centered above the headline.</w:t>
      </w:r>
    </w:p>
    <w:p>
      <w:pPr>
        <w:pStyle w:val="ListBullet"/>
        <w:spacing w:after="80"/>
      </w:pPr>
      <w:r>
        <w:t>Headline centered.</w:t>
      </w:r>
    </w:p>
    <w:p>
      <w:pPr>
        <w:pStyle w:val="ListBullet"/>
        <w:spacing w:after="80"/>
      </w:pPr>
      <w:r>
        <w:t>Subhead centered.</w:t>
      </w:r>
    </w:p>
    <w:p>
      <w:pPr>
        <w:pStyle w:val="ListBullet"/>
        <w:spacing w:after="80"/>
      </w:pPr>
      <w:r>
        <w:t>Large centered visual beneath the copy.</w:t>
      </w:r>
    </w:p>
    <w:p>
      <w:pPr>
        <w:pStyle w:val="ListBullet"/>
        <w:spacing w:after="80"/>
      </w:pPr>
      <w:r>
        <w:t>The copy block should sit above the visual and should be constrained to a comfortable reading width, approximately 850px to 950px.</w:t>
      </w:r>
    </w:p>
    <w:p>
      <w:pPr>
        <w:pStyle w:val="ListBullet"/>
        <w:spacing w:after="80"/>
      </w:pPr>
      <w:r>
        <w:t>The visual should be the dominant element in the section. Do not place additional callout cards, icon lists, or supporting text blocks to the right of the intro copy. The image is already detailed and should be allowed to carry the explanation.</w:t>
      </w:r>
    </w:p>
    <w:p>
      <w:pPr>
        <w:pStyle w:val="Heading2"/>
        <w:spacing w:after="120" w:before="240"/>
      </w:pPr>
      <w:r>
        <w:t>Copy</w:t>
      </w:r>
    </w:p>
    <w:p>
      <w:pPr>
        <w:spacing w:after="80"/>
      </w:pPr>
      <w:r>
        <w:rPr>
          <w:b w:val="0"/>
        </w:rPr>
        <w:t>Eyebrow: GREATER VISIBILITY</w:t>
      </w:r>
    </w:p>
    <w:p>
      <w:pPr>
        <w:spacing w:after="80"/>
      </w:pPr>
      <w:r>
        <w:rPr>
          <w:b w:val="0"/>
        </w:rPr>
        <w:t>Headline: Turn the provision into a clearer view of the business.</w:t>
      </w:r>
    </w:p>
    <w:p>
      <w:pPr>
        <w:spacing w:after="80"/>
      </w:pPr>
      <w:r>
        <w:rPr>
          <w:b w:val="0"/>
        </w:rPr>
        <w:t>Subhead: Nodus gives tax and finance leaders a clearer view of what is driving the provision, from the full reporting picture down to the source, support, calculation, and judgment behind each number.</w:t>
      </w:r>
    </w:p>
    <w:p>
      <w:pPr>
        <w:spacing w:after="80"/>
      </w:pPr>
      <w:r>
        <w:rPr>
          <w:b w:val="0"/>
        </w:rPr>
        <w:t>Callout line below the graph: Greater visibility can reveal patterns, pressure points, and planning opportunities static workpapers often bury.</w:t>
      </w:r>
    </w:p>
    <w:p>
      <w:pPr>
        <w:pStyle w:val="Heading2"/>
        <w:spacing w:after="120" w:before="240"/>
      </w:pPr>
      <w:r>
        <w:t>Copy Color and Hierarchy</w:t>
      </w:r>
    </w:p>
    <w:p>
      <w:pPr>
        <w:pStyle w:val="ListBullet"/>
        <w:spacing w:after="80"/>
      </w:pPr>
      <w:r>
        <w:t>Make the Section 3 body copy/subhead white or near-white, not grey. Use #ffffff or rgba(255,255,255,0.88).</w:t>
      </w:r>
    </w:p>
    <w:p>
      <w:pPr>
        <w:pStyle w:val="ListBullet"/>
        <w:spacing w:after="80"/>
      </w:pPr>
      <w:r>
        <w:t>The eyebrow can remain Lime Glow / Vector Green.</w:t>
      </w:r>
    </w:p>
    <w:p>
      <w:pPr>
        <w:pStyle w:val="ListBullet"/>
        <w:spacing w:after="80"/>
      </w:pPr>
      <w:r>
        <w:t>The headline should be white with brand styling.</w:t>
      </w:r>
    </w:p>
    <w:p>
      <w:pPr>
        <w:pStyle w:val="ListBullet"/>
        <w:spacing w:after="80"/>
      </w:pPr>
      <w:r>
        <w:t>The Section 3 headline should use H2 sizing, not the hero H1 size.</w:t>
      </w:r>
    </w:p>
    <w:p>
      <w:pPr>
        <w:pStyle w:val="ListBullet"/>
        <w:spacing w:after="80"/>
      </w:pPr>
      <w:r>
        <w:t>The callout line should be more prominent than the main body copy, larger than the section subhead/body copy, and medium weight.</w:t>
      </w:r>
    </w:p>
    <w:p>
      <w:pPr>
        <w:pStyle w:val="ListBullet"/>
        <w:spacing w:after="80"/>
      </w:pPr>
      <w:r>
        <w:t>Keep the full callout line centered beneath the graphic.</w:t>
      </w:r>
    </w:p>
    <w:p>
      <w:pPr>
        <w:pStyle w:val="ListBullet"/>
        <w:spacing w:after="80"/>
      </w:pPr>
      <w:r>
        <w:t>Use white or near-white for the full sentence, but make "reveal patterns, pressure points," and "planning opportunities" green and semi-bold so they are called out.</w:t>
      </w:r>
    </w:p>
    <w:p>
      <w:pPr>
        <w:pStyle w:val="ListBullet"/>
        <w:spacing w:after="80"/>
      </w:pPr>
      <w:r>
        <w:t>Use Vector Green #5ECD48 or Lime Glow #C7FD69 for the highlighted phrases. Keep the styling clean and editorial, not overly decorative.</w:t>
      </w:r>
    </w:p>
    <w:p>
      <w:pPr>
        <w:pStyle w:val="Heading2"/>
        <w:spacing w:after="120" w:before="240"/>
      </w:pPr>
      <w:r>
        <w:t>Visual Direction</w:t>
      </w:r>
    </w:p>
    <w:p>
      <w:pPr>
        <w:pStyle w:val="ListBullet"/>
        <w:spacing w:after="80"/>
      </w:pPr>
      <w:r>
        <w:t>Display the Greater Visibility image large and centered below the intro copy.</w:t>
      </w:r>
    </w:p>
    <w:p>
      <w:pPr>
        <w:pStyle w:val="ListBullet"/>
        <w:spacing w:after="80"/>
      </w:pPr>
      <w:r>
        <w:t>Use the supplied graphic exactly as provided. Set the section background color to #0e172c so the image blends seamlessly into the section. Do not attempt to recolor or rebuild the image background.</w:t>
      </w:r>
    </w:p>
    <w:p>
      <w:pPr>
        <w:pStyle w:val="ListBullet"/>
        <w:spacing w:after="80"/>
      </w:pPr>
      <w:r>
        <w:t>The image should be wide enough for the stacked provision panels, numbered visibility rail, and green trace path to be legible.</w:t>
      </w:r>
    </w:p>
    <w:p>
      <w:pPr>
        <w:pStyle w:val="ListBullet"/>
        <w:spacing w:after="80"/>
      </w:pPr>
      <w:r>
        <w:t>Do not crop off the left numbered rail.</w:t>
      </w:r>
    </w:p>
    <w:p>
      <w:pPr>
        <w:pStyle w:val="ListBullet"/>
        <w:spacing w:after="80"/>
      </w:pPr>
      <w:r>
        <w:t>Do not squeeze the visual into a narrow right column.</w:t>
      </w:r>
    </w:p>
    <w:p>
      <w:pPr>
        <w:pStyle w:val="ListBullet"/>
        <w:spacing w:after="80"/>
      </w:pPr>
      <w:r>
        <w:t>Do not wrap the image in a heavy card. The image already contains dimensional panels and should feel like an immersive system view.</w:t>
      </w:r>
    </w:p>
    <w:p>
      <w:pPr>
        <w:pStyle w:val="ListBullet"/>
        <w:spacing w:after="80"/>
      </w:pPr>
      <w:r>
        <w:t>Move the second paragraph idea out of the main subhead and place it below the graph as the callout line.</w:t>
      </w:r>
    </w:p>
    <w:p>
      <w:pPr>
        <w:pStyle w:val="ListBullet"/>
        <w:spacing w:after="80"/>
      </w:pPr>
      <w:r>
        <w:t>Add generous spacing above and below the visual so the section feels premium and controlled, but keep the overall height compact enough that the section does not feel overly long.</w:t>
      </w:r>
    </w:p>
    <w:p>
      <w:pPr>
        <w:pStyle w:val="Heading2"/>
        <w:spacing w:after="120" w:before="240"/>
      </w:pPr>
      <w:r>
        <w:t>Greater Visibility Trace Animation</w:t>
      </w:r>
    </w:p>
    <w:p>
      <w:pPr>
        <w:pStyle w:val="ListBullet"/>
        <w:spacing w:after="80"/>
      </w:pPr>
      <w:r>
        <w:t>The line in the Greater Visibility visual should animate downward from the top layer to the bottom layer.</w:t>
      </w:r>
    </w:p>
    <w:p>
      <w:pPr>
        <w:pStyle w:val="ListBullet"/>
        <w:spacing w:after="80"/>
      </w:pPr>
      <w:r>
        <w:t>Use Greater Visibility Trace Node Markers.png as the positioning guide for the trace path overlay. It contains both the full path shape and grounding dots at key points.</w:t>
      </w:r>
    </w:p>
    <w:p>
      <w:pPr>
        <w:pStyle w:val="ListBullet"/>
        <w:spacing w:after="80"/>
      </w:pPr>
      <w:r>
        <w:t>Do not display the marker file in the final page.</w:t>
      </w:r>
    </w:p>
    <w:p>
      <w:pPr>
        <w:pStyle w:val="ListBullet"/>
        <w:spacing w:after="80"/>
      </w:pPr>
      <w:r>
        <w:t>Create the SVG trace overlay by matching the marker line as closely as possible, including bends/curves in the path. Do not connect the points with a simple straight line.</w:t>
      </w:r>
    </w:p>
    <w:p>
      <w:pPr>
        <w:pStyle w:val="ListBullet"/>
        <w:spacing w:after="80"/>
      </w:pPr>
      <w:r>
        <w:t>The full existing path should remain visible in the image, while a brighter highlight travels downward along the path.</w:t>
      </w:r>
    </w:p>
    <w:p>
      <w:pPr>
        <w:pStyle w:val="ListBullet"/>
        <w:spacing w:after="80"/>
      </w:pPr>
      <w:r>
        <w:t>The highlight should loop softly, so the line reads as an active trace from the top of the provision down to the bottom layer.</w:t>
      </w:r>
    </w:p>
    <w:p>
      <w:pPr>
        <w:pStyle w:val="ListBullet"/>
        <w:spacing w:after="80"/>
      </w:pPr>
      <w:r>
        <w:t>Do not add visual clutter or rebuild the whole graphic. Use the supplied image and overlay only the trace animation based on the marker file.</w:t>
      </w:r>
    </w:p>
    <w:p>
      <w:pPr>
        <w:pStyle w:val="ListBullet"/>
        <w:spacing w:after="80"/>
      </w:pPr>
      <w:r>
        <w:t>The motion should be subtle and premium, not flashy.</w:t>
      </w:r>
    </w:p>
    <w:p>
      <w:pPr>
        <w:pStyle w:val="Heading2"/>
        <w:spacing w:after="120" w:before="240"/>
      </w:pPr>
      <w:r>
        <w:t>Animation Direction</w:t>
      </w:r>
    </w:p>
    <w:p>
      <w:pPr>
        <w:pStyle w:val="ListBullet"/>
        <w:spacing w:after="80"/>
      </w:pPr>
      <w:r>
        <w:t>Do not pin this section. Save pinned scroll behavior for Section 4.</w:t>
      </w:r>
    </w:p>
    <w:p>
      <w:pPr>
        <w:pStyle w:val="ListBullet"/>
        <w:spacing w:after="80"/>
      </w:pPr>
      <w:r>
        <w:t>Eyebrow fades in and moves up slightly.</w:t>
      </w:r>
    </w:p>
    <w:p>
      <w:pPr>
        <w:pStyle w:val="ListBullet"/>
        <w:spacing w:after="80"/>
      </w:pPr>
      <w:r>
        <w:t>Headline and subhead fade in and move up slightly after the eyebrow.</w:t>
      </w:r>
    </w:p>
    <w:p>
      <w:pPr>
        <w:pStyle w:val="ListBullet"/>
        <w:spacing w:after="80"/>
      </w:pPr>
      <w:r>
        <w:t>The visual fades in and lifts slightly after the copy.</w:t>
      </w:r>
    </w:p>
    <w:p>
      <w:pPr>
        <w:pStyle w:val="ListBullet"/>
        <w:spacing w:after="80"/>
      </w:pPr>
      <w:r>
        <w:t>The trace highlight loops downward through the visual path.</w:t>
      </w:r>
    </w:p>
    <w:p>
      <w:pPr>
        <w:pStyle w:val="ListBullet"/>
        <w:spacing w:after="80"/>
      </w:pPr>
      <w:r>
        <w:t>Avoid extra overlays, callout cards, bouncing, dramatic zooms, or heavy glow effects.</w:t>
      </w:r>
    </w:p>
    <w:p>
      <w:pPr>
        <w:pStyle w:val="Heading2"/>
        <w:spacing w:after="120" w:before="240"/>
      </w:pPr>
      <w:r>
        <w:t>Mobile Direction</w:t>
      </w:r>
    </w:p>
    <w:p>
      <w:pPr>
        <w:pStyle w:val="ListBullet"/>
        <w:spacing w:after="80"/>
      </w:pPr>
      <w:r>
        <w:t>On mobile, keep the same order: eyebrow, headline, subhead, visual, callout line.</w:t>
      </w:r>
    </w:p>
    <w:p>
      <w:pPr>
        <w:pStyle w:val="ListBullet"/>
        <w:spacing w:after="80"/>
      </w:pPr>
      <w:r>
        <w:t>Scale the visual to fit the screen. If the full image becomes too detailed on small screens, allow horizontal overflow or provide a simplified/cropped mobile version that preserves the numbered rail and main trace path.</w:t>
      </w:r>
    </w:p>
    <w:p>
      <w:pPr>
        <w:pStyle w:val="Heading1"/>
        <w:spacing w:after="120" w:before="240"/>
      </w:pPr>
      <w:r>
        <w:t>Section 4 - Built for the Work</w:t>
      </w:r>
    </w:p>
    <w:p>
      <w:pPr>
        <w:spacing w:after="80"/>
      </w:pPr>
      <w:r>
        <w:rPr>
          <w:b w:val="0"/>
        </w:rPr>
        <w:t>Background: Ink Navy #0B1220</w:t>
      </w:r>
    </w:p>
    <w:p>
      <w:pPr>
        <w:spacing w:after="80"/>
      </w:pPr>
      <w:r>
        <w:rPr>
          <w:b w:val="0"/>
        </w:rPr>
        <w:t>Role: Explain how Nodus applies the right kind of intelligence to each part of the ASC 740 provision process. This section should feel like a controlled, layer-by-layer system reveal, not a static explainer block.</w:t>
      </w:r>
    </w:p>
    <w:p>
      <w:pPr>
        <w:spacing w:after="80"/>
      </w:pPr>
      <w:r>
        <w:rPr>
          <w:b w:val="0"/>
        </w:rPr>
        <w:t>Reference File: Include Section 4.pptx as the visual sequence reference for this section. Use it to confirm the intended four-layer progression, copy hierarchy, and overall composition. Use the exported PNG assets for actual implementation.</w:t>
      </w:r>
    </w:p>
    <w:p>
      <w:pPr>
        <w:spacing w:after="80"/>
      </w:pPr>
      <w:r>
        <w:rPr>
          <w:b w:val="0"/>
        </w:rPr>
        <w:t>Reference Assets:</w:t>
      </w:r>
    </w:p>
    <w:p>
      <w:pPr>
        <w:pStyle w:val="ListBullet"/>
        <w:spacing w:after="80"/>
      </w:pPr>
      <w:r>
        <w:t>Intake Layer.png</w:t>
      </w:r>
    </w:p>
    <w:p>
      <w:pPr>
        <w:pStyle w:val="ListBullet"/>
        <w:spacing w:after="80"/>
      </w:pPr>
      <w:r>
        <w:t>Excel Layer.png</w:t>
      </w:r>
    </w:p>
    <w:p>
      <w:pPr>
        <w:pStyle w:val="ListBullet"/>
        <w:spacing w:after="80"/>
      </w:pPr>
      <w:r>
        <w:t>Graph Layer.png</w:t>
      </w:r>
    </w:p>
    <w:p>
      <w:pPr>
        <w:pStyle w:val="ListBullet"/>
        <w:spacing w:after="80"/>
      </w:pPr>
      <w:r>
        <w:t>Human Review.png</w:t>
      </w:r>
    </w:p>
    <w:p>
      <w:pPr>
        <w:spacing w:after="80"/>
      </w:pPr>
      <w:r>
        <w:rPr>
          <w:b w:val="0"/>
        </w:rPr>
        <w:t>Reference Interaction: Use a pinned scroll sequence similar in spirit to Sections 3 and 4 of accrual.com. The section should scroll into view, lock/pin, then advance through the four visual states as the user scrolls.</w:t>
      </w:r>
    </w:p>
    <w:p>
      <w:pPr>
        <w:pStyle w:val="Heading2"/>
        <w:spacing w:after="120" w:before="240"/>
      </w:pPr>
      <w:r>
        <w:t>Copy</w:t>
      </w:r>
    </w:p>
    <w:p>
      <w:pPr>
        <w:spacing w:after="80"/>
      </w:pPr>
      <w:r>
        <w:rPr>
          <w:b w:val="0"/>
        </w:rPr>
        <w:t>Eyebrow: BUILT FOR THE WORK</w:t>
      </w:r>
    </w:p>
    <w:p>
      <w:pPr>
        <w:spacing w:after="80"/>
      </w:pPr>
      <w:r>
        <w:rPr>
          <w:b w:val="0"/>
        </w:rPr>
        <w:t>Headline: Move faster without giving up control.</w:t>
      </w:r>
    </w:p>
    <w:p>
      <w:pPr>
        <w:spacing w:after="80"/>
      </w:pPr>
      <w:r>
        <w:rPr>
          <w:b w:val="0"/>
        </w:rPr>
        <w:t>Subhead: Nodus applies the right kind of intelligence to the right part of the provision: AI to structure messy inputs, deterministic logic to run reproducible calculations, a graph to preserve relationships, and ASC 740 expertise to guide the judgment.</w:t>
      </w:r>
    </w:p>
    <w:p>
      <w:pPr>
        <w:spacing w:after="80"/>
      </w:pPr>
      <w:r>
        <w:rPr>
          <w:b w:val="0"/>
        </w:rPr>
        <w:t>Layer: AI structures the inputs.</w:t>
      </w:r>
    </w:p>
    <w:p>
      <w:pPr>
        <w:spacing w:after="80"/>
      </w:pPr>
      <w:r>
        <w:rPr>
          <w:b w:val="0"/>
        </w:rPr>
        <w:t>Messy source materials become usable provision logic.</w:t>
      </w:r>
    </w:p>
    <w:p>
      <w:pPr>
        <w:spacing w:after="80"/>
      </w:pPr>
      <w:r>
        <w:rPr>
          <w:b w:val="0"/>
        </w:rPr>
        <w:t>Use visual asset: Intake Layer.png</w:t>
      </w:r>
    </w:p>
    <w:p>
      <w:pPr>
        <w:spacing w:after="80"/>
      </w:pPr>
      <w:r>
        <w:rPr>
          <w:b w:val="0"/>
        </w:rPr>
        <w:t>Layer: Deterministic logic runs the math.</w:t>
      </w:r>
    </w:p>
    <w:p>
      <w:pPr>
        <w:spacing w:after="80"/>
      </w:pPr>
      <w:r>
        <w:rPr>
          <w:b w:val="0"/>
        </w:rPr>
        <w:t>Excel executes the calculations, keeping the math transparent, reproducible, and review-ready.</w:t>
      </w:r>
    </w:p>
    <w:p>
      <w:pPr>
        <w:spacing w:after="80"/>
      </w:pPr>
      <w:r>
        <w:rPr>
          <w:b w:val="0"/>
        </w:rPr>
        <w:t>Use visual asset: Excel Layer.png</w:t>
      </w:r>
    </w:p>
    <w:p>
      <w:pPr>
        <w:spacing w:after="80"/>
      </w:pPr>
      <w:r>
        <w:rPr>
          <w:b w:val="0"/>
        </w:rPr>
        <w:t>Layer: The graph keeps the reasoning connected.</w:t>
      </w:r>
    </w:p>
    <w:p>
      <w:pPr>
        <w:spacing w:after="80"/>
      </w:pPr>
      <w:r>
        <w:rPr>
          <w:b w:val="0"/>
        </w:rPr>
        <w:t>Numbers, support, authority, assumptions, and judgment stay linked over time.</w:t>
      </w:r>
    </w:p>
    <w:p>
      <w:pPr>
        <w:spacing w:after="80"/>
      </w:pPr>
      <w:r>
        <w:rPr>
          <w:b w:val="0"/>
        </w:rPr>
        <w:t>Use visual asset: Graph Layer.png</w:t>
      </w:r>
    </w:p>
    <w:p>
      <w:pPr>
        <w:spacing w:after="80"/>
      </w:pPr>
      <w:r>
        <w:rPr>
          <w:b w:val="0"/>
        </w:rPr>
        <w:t>Layer: ASC 740 expertise guides the work.</w:t>
      </w:r>
    </w:p>
    <w:p>
      <w:pPr>
        <w:spacing w:after="80"/>
      </w:pPr>
      <w:r>
        <w:rPr>
          <w:b w:val="0"/>
        </w:rPr>
        <w:t>Human review stays in the process where professional judgment matters.</w:t>
      </w:r>
    </w:p>
    <w:p>
      <w:pPr>
        <w:spacing w:after="80"/>
      </w:pPr>
      <w:r>
        <w:rPr>
          <w:b w:val="0"/>
        </w:rPr>
        <w:t>Use visual asset: Human Review.png</w:t>
      </w:r>
    </w:p>
    <w:p>
      <w:pPr>
        <w:pStyle w:val="Heading2"/>
        <w:spacing w:after="120" w:before="240"/>
      </w:pPr>
      <w:r>
        <w:t>Layer Label Direction</w:t>
      </w:r>
    </w:p>
    <w:p>
      <w:pPr>
        <w:pStyle w:val="ListBullet"/>
        <w:spacing w:after="80"/>
      </w:pPr>
      <w:r>
        <w:t>Do not label these as Step 1, Step 2, Step 3, or Step 4. They are layers in the model, not steps in a process.</w:t>
      </w:r>
    </w:p>
    <w:p>
      <w:pPr>
        <w:pStyle w:val="ListBullet"/>
        <w:spacing w:after="80"/>
      </w:pPr>
      <w:r>
        <w:t>The preferred treatment is no small label above each layer title. Let the layer title carry the meaning.</w:t>
      </w:r>
    </w:p>
    <w:p>
      <w:pPr>
        <w:pStyle w:val="ListBullet"/>
        <w:spacing w:after="80"/>
      </w:pPr>
      <w:r>
        <w:t>If a small label is needed for layout consistency, use simple layer labels only: AI Intake, Deterministic Execution, Connected Graph, Human Review.</w:t>
      </w:r>
    </w:p>
    <w:p>
      <w:pPr>
        <w:pStyle w:val="ListBullet"/>
        <w:spacing w:after="80"/>
      </w:pPr>
      <w:r>
        <w:t>Do not use the word Step in this section.</w:t>
      </w:r>
    </w:p>
    <w:p>
      <w:pPr>
        <w:pStyle w:val="Heading2"/>
        <w:spacing w:after="120" w:before="240"/>
      </w:pPr>
      <w:r>
        <w:t>Layout</w:t>
      </w:r>
    </w:p>
    <w:p>
      <w:pPr>
        <w:pStyle w:val="ListBullet"/>
        <w:spacing w:after="80"/>
      </w:pPr>
      <w:r>
        <w:t>Use a two-column desktop layout.</w:t>
      </w:r>
    </w:p>
    <w:p>
      <w:pPr>
        <w:pStyle w:val="ListBullet"/>
        <w:spacing w:after="80"/>
      </w:pPr>
      <w:r>
        <w:t>Left column: eyebrow, headline, subhead, and four layer descriptions.</w:t>
      </w:r>
    </w:p>
    <w:p>
      <w:pPr>
        <w:pStyle w:val="ListBullet"/>
        <w:spacing w:after="80"/>
      </w:pPr>
      <w:r>
        <w:t>Right column: large visual area using the four supplied visual assets.</w:t>
      </w:r>
    </w:p>
    <w:p>
      <w:pPr>
        <w:pStyle w:val="ListBullet"/>
        <w:spacing w:after="80"/>
      </w:pPr>
      <w:r>
        <w:t>The visual should be the dominant element. The layer list should clearly show which layer is active as the user scrolls.</w:t>
      </w:r>
    </w:p>
    <w:p>
      <w:pPr>
        <w:pStyle w:val="ListBullet"/>
        <w:spacing w:after="80"/>
      </w:pPr>
      <w:r>
        <w:t>Active layer styling: use Vector Green #5ECD48 or Lime Glow #C7FD69.</w:t>
      </w:r>
    </w:p>
    <w:p>
      <w:pPr>
        <w:pStyle w:val="ListBullet"/>
        <w:spacing w:after="80"/>
      </w:pPr>
      <w:r>
        <w:t>Inactive layer styling: use muted white/grey text with reduced opacity.</w:t>
      </w:r>
    </w:p>
    <w:p>
      <w:pPr>
        <w:pStyle w:val="ListBullet"/>
        <w:spacing w:after="80"/>
      </w:pPr>
      <w:r>
        <w:t>The section should feel technical, precise, and premium. Do not make it feel like a product slideshow or generic SaaS feature carousel.</w:t>
      </w:r>
    </w:p>
    <w:p>
      <w:pPr>
        <w:pStyle w:val="Heading2"/>
        <w:spacing w:after="120" w:before="240"/>
      </w:pPr>
      <w:r>
        <w:t>Pinned Scroll Behavior</w:t>
      </w:r>
    </w:p>
    <w:p>
      <w:pPr>
        <w:pStyle w:val="ListBullet"/>
        <w:spacing w:after="80"/>
      </w:pPr>
      <w:r>
        <w:t>The section should enter normally.</w:t>
      </w:r>
    </w:p>
    <w:p>
      <w:pPr>
        <w:pStyle w:val="ListBullet"/>
        <w:spacing w:after="80"/>
      </w:pPr>
      <w:r>
        <w:t>Once the section reaches the correct viewport position, pin the section.</w:t>
      </w:r>
    </w:p>
    <w:p>
      <w:pPr>
        <w:pStyle w:val="ListBullet"/>
        <w:spacing w:after="80"/>
      </w:pPr>
      <w:r>
        <w:t>As the user continues scrolling through the pinned section, advance through four states: Intake Layer active, Excel Layer active, Graph Layer active, Human Review active.</w:t>
      </w:r>
    </w:p>
    <w:p>
      <w:pPr>
        <w:pStyle w:val="ListBullet"/>
        <w:spacing w:after="80"/>
      </w:pPr>
      <w:r>
        <w:t>Each state should update both the active visual asset and the active layer text on the left.</w:t>
      </w:r>
    </w:p>
    <w:p>
      <w:pPr>
        <w:pStyle w:val="ListBullet"/>
        <w:spacing w:after="80"/>
      </w:pPr>
      <w:r>
        <w:t>After the fourth state completes, release the pin and allow the user to continue to the next section.</w:t>
      </w:r>
    </w:p>
    <w:p>
      <w:pPr>
        <w:pStyle w:val="Heading2"/>
        <w:spacing w:after="120" w:before="240"/>
      </w:pPr>
      <w:r>
        <w:t>Visual Animation Direction</w:t>
      </w:r>
    </w:p>
    <w:p>
      <w:pPr>
        <w:pStyle w:val="ListBullet"/>
        <w:spacing w:after="80"/>
      </w:pPr>
      <w:r>
        <w:t>Transition between the four image states with clean crossfades or opacity shifts.</w:t>
      </w:r>
    </w:p>
    <w:p>
      <w:pPr>
        <w:pStyle w:val="ListBullet"/>
        <w:spacing w:after="80"/>
      </w:pPr>
      <w:r>
        <w:t>If crossfading causes visual artifacts because the images are similar, use a direct but softened transition.</w:t>
      </w:r>
    </w:p>
    <w:p>
      <w:pPr>
        <w:pStyle w:val="ListBullet"/>
        <w:spacing w:after="80"/>
      </w:pPr>
      <w:r>
        <w:t>Do not use large zooms, bounces, wobble, spinning, or exaggerated motion.</w:t>
      </w:r>
    </w:p>
    <w:p>
      <w:pPr>
        <w:pStyle w:val="ListBullet"/>
        <w:spacing w:after="80"/>
      </w:pPr>
      <w:r>
        <w:t>The motion should feel like a system being explained layer by layer.</w:t>
      </w:r>
    </w:p>
    <w:p>
      <w:pPr>
        <w:pStyle w:val="ListBullet"/>
        <w:spacing w:after="80"/>
      </w:pPr>
      <w:r>
        <w:t>The final state should hold briefly before the section releases.</w:t>
      </w:r>
    </w:p>
    <w:p>
      <w:pPr>
        <w:pStyle w:val="Heading2"/>
        <w:spacing w:after="120" w:before="240"/>
      </w:pPr>
      <w:r>
        <w:t>Implementation Direction</w:t>
      </w:r>
    </w:p>
    <w:p>
      <w:pPr>
        <w:pStyle w:val="ListBullet"/>
        <w:spacing w:after="80"/>
      </w:pPr>
      <w:r>
        <w:t>Use GSAP ScrollTrigger if already available in the file.</w:t>
      </w:r>
    </w:p>
    <w:p>
      <w:pPr>
        <w:pStyle w:val="ListBullet"/>
        <w:spacing w:after="80"/>
      </w:pPr>
      <w:r>
        <w:t>Keep all code scoped to this section.</w:t>
      </w:r>
    </w:p>
    <w:p>
      <w:pPr>
        <w:pStyle w:val="ListBullet"/>
        <w:spacing w:after="80"/>
      </w:pPr>
      <w:r>
        <w:t>Do not modify Section 2.</w:t>
      </w:r>
    </w:p>
    <w:p>
      <w:pPr>
        <w:pStyle w:val="ListBullet"/>
        <w:spacing w:after="80"/>
      </w:pPr>
      <w:r>
        <w:t>Use the uploaded assets directly rather than rebuilding the illustration in code.</w:t>
      </w:r>
    </w:p>
    <w:p>
      <w:pPr>
        <w:pStyle w:val="ListBullet"/>
        <w:spacing w:after="80"/>
      </w:pPr>
      <w:r>
        <w:t>Make sure the pinned sequence does not trap the user or feel too long. The scroll distance should be enough to understand the four layers, but not so long that it feels tedious.</w:t>
      </w:r>
    </w:p>
    <w:p>
      <w:pPr>
        <w:pStyle w:val="Heading2"/>
        <w:spacing w:after="120" w:before="240"/>
      </w:pPr>
      <w:r>
        <w:t>Reduced Motion / Mobile</w:t>
      </w:r>
    </w:p>
    <w:p>
      <w:pPr>
        <w:pStyle w:val="ListBullet"/>
        <w:spacing w:after="80"/>
      </w:pPr>
      <w:r>
        <w:t>Respect prefers-reduced-motion.</w:t>
      </w:r>
    </w:p>
    <w:p>
      <w:pPr>
        <w:pStyle w:val="ListBullet"/>
        <w:spacing w:after="80"/>
      </w:pPr>
      <w:r>
        <w:t>For reduced motion, do not pin. Show a static version of the section with all four layers visible.</w:t>
      </w:r>
    </w:p>
    <w:p>
      <w:pPr>
        <w:pStyle w:val="ListBullet"/>
        <w:spacing w:after="80"/>
      </w:pPr>
      <w:r>
        <w:t>On mobile, do not use a long pinned scroll sequence. Stack the four layers vertically, each with its corresponding image.</w:t>
      </w:r>
    </w:p>
    <w:p>
      <w:pPr>
        <w:pStyle w:val="Heading2"/>
        <w:spacing w:after="120" w:before="240"/>
      </w:pPr>
      <w:r>
        <w:t>Motion Style</w:t>
      </w:r>
    </w:p>
    <w:p>
      <w:pPr>
        <w:spacing w:after="80"/>
      </w:pPr>
      <w:r>
        <w:rPr>
          <w:b w:val="0"/>
        </w:rPr>
        <w:t>Precise. Technical. Controlled. Avoid anything playful, bouncy, flashy, or overly cinematic. The intended story: Nodus does not hand the whole provision to AI. It separates the work into the right layers: AI for intake, Excel/deterministic logic for calculations, graph structure for connected reasoning, and ASC 740 expertise for human judgment.</w:t>
      </w:r>
    </w:p>
    <w:p>
      <w:pPr>
        <w:pStyle w:val="Heading1"/>
        <w:spacing w:after="120" w:before="240"/>
      </w:pPr>
      <w:r>
        <w:t>Section 5 - What's In It For You?</w:t>
      </w:r>
    </w:p>
    <w:p>
      <w:pPr>
        <w:spacing w:after="80"/>
      </w:pPr>
      <w:r>
        <w:rPr>
          <w:b w:val="0"/>
        </w:rPr>
        <w:t>Background: Ink Navy #0B1220 with a contained Deep Blue #101a30 benefits panel.</w:t>
      </w:r>
    </w:p>
    <w:p>
      <w:pPr>
        <w:spacing w:after="80"/>
      </w:pPr>
      <w:r>
        <w:rPr>
          <w:b w:val="0"/>
        </w:rPr>
        <w:t>Role: Translate the earlier technical story into practical outcomes. This section should answer: What does this actually do for me?</w:t>
      </w:r>
    </w:p>
    <w:p>
      <w:pPr>
        <w:pStyle w:val="Heading2"/>
        <w:spacing w:after="120" w:before="240"/>
      </w:pPr>
      <w:r>
        <w:t>Layout</w:t>
      </w:r>
    </w:p>
    <w:p>
      <w:pPr>
        <w:pStyle w:val="ListBullet"/>
        <w:spacing w:after="80"/>
      </w:pPr>
      <w:r>
        <w:t>Use a boxed 3-card benefits module, not another full-width graph or split layout.</w:t>
      </w:r>
    </w:p>
    <w:p>
      <w:pPr>
        <w:pStyle w:val="ListBullet"/>
        <w:spacing w:after="80"/>
      </w:pPr>
      <w:r>
        <w:t>Centered eyebrow and headline above the boxed panel.</w:t>
      </w:r>
    </w:p>
    <w:p>
      <w:pPr>
        <w:pStyle w:val="ListBullet"/>
        <w:spacing w:after="80"/>
      </w:pPr>
      <w:r>
        <w:t>Use one large rounded container/panel with three benefit cards or three columns inside.</w:t>
      </w:r>
    </w:p>
    <w:p>
      <w:pPr>
        <w:pStyle w:val="ListBullet"/>
        <w:spacing w:after="80"/>
      </w:pPr>
      <w:r>
        <w:t>Each benefit card should include a simple line icon top-left, the benefit headline, and concise body copy.</w:t>
      </w:r>
    </w:p>
    <w:p>
      <w:pPr>
        <w:pStyle w:val="ListBullet"/>
        <w:spacing w:after="80"/>
      </w:pPr>
      <w:r>
        <w:t>Desktop: three cards in a row. Mobile: stack the cards vertically.</w:t>
      </w:r>
    </w:p>
    <w:p>
      <w:pPr>
        <w:pStyle w:val="ListBullet"/>
        <w:spacing w:after="80"/>
      </w:pPr>
      <w:r>
        <w:t>Use subtle dividers or card borders inside the panel. Keep the design premium and spacious.</w:t>
      </w:r>
    </w:p>
    <w:p>
      <w:pPr>
        <w:pStyle w:val="ListBullet"/>
        <w:spacing w:after="80"/>
      </w:pPr>
      <w:r>
        <w:t>This section should feel simpler and more human than Sections 3 and 4. It is the payoff summary.</w:t>
      </w:r>
    </w:p>
    <w:p>
      <w:pPr>
        <w:pStyle w:val="Heading2"/>
        <w:spacing w:after="120" w:before="240"/>
      </w:pPr>
      <w:r>
        <w:t>Copy</w:t>
      </w:r>
    </w:p>
    <w:p>
      <w:pPr>
        <w:spacing w:after="80"/>
      </w:pPr>
      <w:r>
        <w:rPr>
          <w:b w:val="0"/>
        </w:rPr>
        <w:t>Eyebrow: WHAT'S IN IT FOR YOU?</w:t>
      </w:r>
    </w:p>
    <w:p>
      <w:pPr>
        <w:spacing w:after="80"/>
      </w:pPr>
      <w:r>
        <w:rPr>
          <w:b w:val="0"/>
        </w:rPr>
        <w:t>Headline: Get more from the provision than a reporting requirement.</w:t>
      </w:r>
    </w:p>
    <w:p>
      <w:pPr>
        <w:spacing w:after="80"/>
      </w:pPr>
      <w:r>
        <w:rPr>
          <w:b w:val="0"/>
        </w:rPr>
        <w:t>Benefit 1 - Greater Visibility</w:t>
      </w:r>
    </w:p>
    <w:p>
      <w:pPr>
        <w:spacing w:after="80"/>
      </w:pPr>
      <w:r>
        <w:rPr>
          <w:b w:val="0"/>
        </w:rPr>
        <w:t>See the full tax picture, then trace down to the source, support, calculation, and judgment behind each number, so the provision reveals more than a reporting result.</w:t>
      </w:r>
    </w:p>
    <w:p>
      <w:pPr>
        <w:spacing w:after="80"/>
      </w:pPr>
      <w:r>
        <w:rPr>
          <w:b w:val="0"/>
        </w:rPr>
        <w:t>Benefit 2 - Agility</w:t>
      </w:r>
    </w:p>
    <w:p>
      <w:pPr>
        <w:spacing w:after="80"/>
      </w:pPr>
      <w:r>
        <w:rPr>
          <w:b w:val="0"/>
        </w:rPr>
        <w:t>When entities, assumptions, deadlines, or reviewer requests change, structured logic makes the provision easier to update, explain, and move forward.</w:t>
      </w:r>
    </w:p>
    <w:p>
      <w:pPr>
        <w:spacing w:after="80"/>
      </w:pPr>
      <w:r>
        <w:rPr>
          <w:b w:val="0"/>
        </w:rPr>
        <w:t>Benefit 3 - Lower Cost</w:t>
      </w:r>
    </w:p>
    <w:p>
      <w:pPr>
        <w:spacing w:after="80"/>
      </w:pPr>
      <w:r>
        <w:rPr>
          <w:b w:val="0"/>
        </w:rPr>
        <w:t>Less budget burned on rework, reconstruction, and repeated explanations means more efficient ASC 740 support without lowering the standard.</w:t>
      </w:r>
    </w:p>
    <w:p>
      <w:pPr>
        <w:pStyle w:val="Heading2"/>
        <w:spacing w:after="120" w:before="240"/>
      </w:pPr>
      <w:r>
        <w:t>Icon Direction</w:t>
      </w:r>
    </w:p>
    <w:p>
      <w:pPr>
        <w:pStyle w:val="ListBullet"/>
        <w:spacing w:after="80"/>
      </w:pPr>
      <w:r>
        <w:t>Icons should follow the Nodus icon style: outline-based, single-weight, simple, modern, and built to communicate a specific idea, not decorate.</w:t>
      </w:r>
    </w:p>
    <w:p>
      <w:pPr>
        <w:pStyle w:val="ListBullet"/>
        <w:spacing w:after="80"/>
      </w:pPr>
      <w:r>
        <w:t>Greater Visibility icon: layered eye, connected view, aperture, or stacked lens.</w:t>
      </w:r>
    </w:p>
    <w:p>
      <w:pPr>
        <w:pStyle w:val="ListBullet"/>
        <w:spacing w:after="80"/>
      </w:pPr>
      <w:r>
        <w:t>Agility icon: branching arrows, adjustable sliders, or flexible node path.</w:t>
      </w:r>
    </w:p>
    <w:p>
      <w:pPr>
        <w:pStyle w:val="ListBullet"/>
        <w:spacing w:after="80"/>
      </w:pPr>
      <w:r>
        <w:t>Lower Cost icon: downward trend, efficiency gauge, or simplified cost/efficiency mark.</w:t>
      </w:r>
    </w:p>
    <w:p>
      <w:pPr>
        <w:pStyle w:val="ListBullet"/>
        <w:spacing w:after="80"/>
      </w:pPr>
      <w:r>
        <w:t>Use Vector Green #5ECD48 or Lime Glow #C7FD69 for icons, with restrained glow only if it matches the section.</w:t>
      </w:r>
    </w:p>
    <w:p>
      <w:pPr>
        <w:pStyle w:val="Heading2"/>
        <w:spacing w:after="120" w:before="240"/>
      </w:pPr>
      <w:r>
        <w:t>Animation Direction</w:t>
      </w:r>
    </w:p>
    <w:p>
      <w:pPr>
        <w:pStyle w:val="ListBullet"/>
        <w:spacing w:after="80"/>
      </w:pPr>
      <w:r>
        <w:t>Panel fades/lifts in as the section enters view.</w:t>
      </w:r>
    </w:p>
    <w:p>
      <w:pPr>
        <w:pStyle w:val="ListBullet"/>
        <w:spacing w:after="80"/>
      </w:pPr>
      <w:r>
        <w:t>Cards fade in with a restrained stagger.</w:t>
      </w:r>
    </w:p>
    <w:p>
      <w:pPr>
        <w:pStyle w:val="ListBullet"/>
        <w:spacing w:after="80"/>
      </w:pPr>
      <w:r>
        <w:t>Optional: very subtle icon glow or card border change on hover.</w:t>
      </w:r>
    </w:p>
    <w:p>
      <w:pPr>
        <w:pStyle w:val="ListBullet"/>
        <w:spacing w:after="80"/>
      </w:pPr>
      <w:r>
        <w:t>Do not add large animation, bouncing, or graph-style tracing here. This is a calm payoff section.</w:t>
      </w:r>
    </w:p>
    <w:p>
      <w:pPr>
        <w:pStyle w:val="Heading1"/>
        <w:spacing w:after="120" w:before="240"/>
      </w:pPr>
      <w:r>
        <w:t>Section 6 - Trust &amp; Control</w:t>
      </w:r>
    </w:p>
    <w:p>
      <w:pPr>
        <w:spacing w:after="80"/>
      </w:pPr>
      <w:r>
        <w:rPr>
          <w:b w:val="0"/>
        </w:rPr>
        <w:t>Background: Ink Navy #0B1220 or a very subtle dark variation that differentiates it from Section 5 without creating a hard visual break.</w:t>
      </w:r>
    </w:p>
    <w:p>
      <w:pPr>
        <w:spacing w:after="80"/>
      </w:pPr>
      <w:r>
        <w:rPr>
          <w:b w:val="0"/>
        </w:rPr>
        <w:t>Role: Reassure the reader that Nodus moves the work forward without turning the ASC 740 process into a black box. Section 5 is the payoff. Section 6 is the guardrail.</w:t>
      </w:r>
    </w:p>
    <w:p>
      <w:pPr>
        <w:pStyle w:val="Heading2"/>
        <w:spacing w:after="120" w:before="240"/>
      </w:pPr>
      <w:r>
        <w:t>Layout</w:t>
      </w:r>
    </w:p>
    <w:p>
      <w:pPr>
        <w:pStyle w:val="ListBullet"/>
        <w:spacing w:after="80"/>
      </w:pPr>
      <w:r>
        <w:t>Use a more compact trust-card row than Section 5. Do not repeat the same large boxed benefit module treatment.</w:t>
      </w:r>
    </w:p>
    <w:p>
      <w:pPr>
        <w:pStyle w:val="ListBullet"/>
        <w:spacing w:after="80"/>
      </w:pPr>
      <w:r>
        <w:t>Centered or slightly left-aligned eyebrow and headline.</w:t>
      </w:r>
    </w:p>
    <w:p>
      <w:pPr>
        <w:pStyle w:val="ListBullet"/>
        <w:spacing w:after="80"/>
      </w:pPr>
      <w:r>
        <w:t>Three compact trust cards or horizontal tiles beneath the headline.</w:t>
      </w:r>
    </w:p>
    <w:p>
      <w:pPr>
        <w:pStyle w:val="ListBullet"/>
        <w:spacing w:after="80"/>
      </w:pPr>
      <w:r>
        <w:t>Cards should feel like safeguards or operating principles, not benefits.</w:t>
      </w:r>
    </w:p>
    <w:p>
      <w:pPr>
        <w:pStyle w:val="ListBullet"/>
        <w:spacing w:after="80"/>
      </w:pPr>
      <w:r>
        <w:t>Use tighter padding, thinner borders, and less visual weight than the Section 5 benefit cards.</w:t>
      </w:r>
    </w:p>
    <w:p>
      <w:pPr>
        <w:pStyle w:val="ListBullet"/>
        <w:spacing w:after="80"/>
      </w:pPr>
      <w:r>
        <w:t>Place the Safety &amp; Security link below the cards or aligned to the lower right of the card row.</w:t>
      </w:r>
    </w:p>
    <w:p>
      <w:pPr>
        <w:pStyle w:val="Heading2"/>
        <w:spacing w:after="120" w:before="240"/>
      </w:pPr>
      <w:r>
        <w:t>Copy</w:t>
      </w:r>
    </w:p>
    <w:p>
      <w:pPr>
        <w:spacing w:after="80"/>
      </w:pPr>
      <w:r>
        <w:rPr>
          <w:b w:val="0"/>
        </w:rPr>
        <w:t>Eyebrow: TRUST &amp; CONTROL</w:t>
      </w:r>
    </w:p>
    <w:p>
      <w:pPr>
        <w:spacing w:after="80"/>
      </w:pPr>
      <w:r>
        <w:rPr>
          <w:b w:val="0"/>
        </w:rPr>
        <w:t>Headline: Move the work forward without turning it into a black box.</w:t>
      </w:r>
    </w:p>
    <w:p>
      <w:pPr>
        <w:spacing w:after="80"/>
      </w:pPr>
      <w:r>
        <w:rPr>
          <w:b w:val="0"/>
        </w:rPr>
        <w:t>Card 1 - Gated AI Use</w:t>
      </w:r>
    </w:p>
    <w:p>
      <w:pPr>
        <w:spacing w:after="80"/>
      </w:pPr>
      <w:r>
        <w:rPr>
          <w:b w:val="0"/>
        </w:rPr>
        <w:t>AI structures inputs, not unsupported tax conclusions.</w:t>
      </w:r>
    </w:p>
    <w:p>
      <w:pPr>
        <w:spacing w:after="80"/>
      </w:pPr>
      <w:r>
        <w:rPr>
          <w:b w:val="0"/>
        </w:rPr>
        <w:t>Card 2 - Reproducible Calculations</w:t>
      </w:r>
    </w:p>
    <w:p>
      <w:pPr>
        <w:spacing w:after="80"/>
      </w:pPr>
      <w:r>
        <w:rPr>
          <w:b w:val="0"/>
        </w:rPr>
        <w:t>Deterministic logic powers the math.</w:t>
      </w:r>
    </w:p>
    <w:p>
      <w:pPr>
        <w:spacing w:after="80"/>
      </w:pPr>
      <w:r>
        <w:rPr>
          <w:b w:val="0"/>
        </w:rPr>
        <w:t>Card 3 - Expert Review</w:t>
      </w:r>
    </w:p>
    <w:p>
      <w:pPr>
        <w:spacing w:after="80"/>
      </w:pPr>
      <w:r>
        <w:rPr>
          <w:b w:val="0"/>
        </w:rPr>
        <w:t>ASC 740 judgment stays in the process.</w:t>
      </w:r>
    </w:p>
    <w:p>
      <w:pPr>
        <w:spacing w:after="80"/>
      </w:pPr>
      <w:r>
        <w:rPr>
          <w:b w:val="0"/>
        </w:rPr>
        <w:t>Link: Learn more about Safety &amp; Security -&gt;</w:t>
      </w:r>
    </w:p>
    <w:p>
      <w:pPr>
        <w:pStyle w:val="Heading2"/>
        <w:spacing w:after="120" w:before="240"/>
      </w:pPr>
      <w:r>
        <w:t>Icon Direction</w:t>
      </w:r>
    </w:p>
    <w:p>
      <w:pPr>
        <w:pStyle w:val="ListBullet"/>
        <w:spacing w:after="80"/>
      </w:pPr>
      <w:r>
        <w:t>Gated AI Use icon: shield with spark, controlled gate, or bracketed AI node.</w:t>
      </w:r>
    </w:p>
    <w:p>
      <w:pPr>
        <w:pStyle w:val="ListBullet"/>
        <w:spacing w:after="80"/>
      </w:pPr>
      <w:r>
        <w:t>Reproducible Calculations icon: calculator, equation, deterministic grid, or spreadsheet/formula mark.</w:t>
      </w:r>
    </w:p>
    <w:p>
      <w:pPr>
        <w:pStyle w:val="ListBullet"/>
        <w:spacing w:after="80"/>
      </w:pPr>
      <w:r>
        <w:t>Expert Review icon: user-check, human review badge, or document review icon.</w:t>
      </w:r>
    </w:p>
    <w:p>
      <w:pPr>
        <w:pStyle w:val="ListBullet"/>
        <w:spacing w:after="80"/>
      </w:pPr>
      <w:r>
        <w:t>Keep icons minimal, outline-based, and aligned with the brand icon system.</w:t>
      </w:r>
    </w:p>
    <w:p>
      <w:pPr>
        <w:pStyle w:val="Heading2"/>
        <w:spacing w:after="120" w:before="240"/>
      </w:pPr>
      <w:r>
        <w:t>Visual Distinction From Section 5</w:t>
      </w:r>
    </w:p>
    <w:p>
      <w:pPr>
        <w:pStyle w:val="ListBullet"/>
        <w:spacing w:after="80"/>
      </w:pPr>
      <w:r>
        <w:t>Section 5 should feel roomier, benefit-led, and editorial.</w:t>
      </w:r>
    </w:p>
    <w:p>
      <w:pPr>
        <w:pStyle w:val="ListBullet"/>
        <w:spacing w:after="80"/>
      </w:pPr>
      <w:r>
        <w:t>Section 6 should feel more compact, assurance-led, and structured.</w:t>
      </w:r>
    </w:p>
    <w:p>
      <w:pPr>
        <w:pStyle w:val="ListBullet"/>
        <w:spacing w:after="80"/>
      </w:pPr>
      <w:r>
        <w:t>Do not use identical card sizes, spacing, or container treatment across both sections.</w:t>
      </w:r>
    </w:p>
    <w:p>
      <w:pPr>
        <w:pStyle w:val="ListBullet"/>
        <w:spacing w:after="80"/>
      </w:pPr>
      <w:r>
        <w:t>The sequence should read: Section 5 tells the visitor what they get. Section 6 explains why they can trust how it works.</w:t>
      </w:r>
    </w:p>
    <w:p>
      <w:pPr>
        <w:pStyle w:val="Heading2"/>
        <w:spacing w:after="120" w:before="240"/>
      </w:pPr>
      <w:r>
        <w:t>Animation Direction</w:t>
      </w:r>
    </w:p>
    <w:p>
      <w:pPr>
        <w:pStyle w:val="ListBullet"/>
        <w:spacing w:after="80"/>
      </w:pPr>
      <w:r>
        <w:t>Cards reveal cleanly and subtly as the section enters view.</w:t>
      </w:r>
    </w:p>
    <w:p>
      <w:pPr>
        <w:pStyle w:val="ListBullet"/>
        <w:spacing w:after="80"/>
      </w:pPr>
      <w:r>
        <w:t>Hover states can use a restrained green border, underline, or icon glow.</w:t>
      </w:r>
    </w:p>
    <w:p>
      <w:pPr>
        <w:pStyle w:val="ListBullet"/>
        <w:spacing w:after="80"/>
      </w:pPr>
      <w:r>
        <w:t>Do not use pinned scroll, tracing paths, or animated graph effects here.</w:t>
      </w:r>
    </w:p>
    <w:p>
      <w:pPr>
        <w:pStyle w:val="Heading1"/>
        <w:spacing w:after="120" w:before="240"/>
      </w:pPr>
      <w:r>
        <w:t>Section 7 - Audience CTA</w:t>
      </w:r>
    </w:p>
    <w:p>
      <w:pPr>
        <w:spacing w:after="80"/>
      </w:pPr>
      <w:r>
        <w:rPr>
          <w:b w:val="0"/>
        </w:rPr>
        <w:t>Background: Deep Blue #101a30</w:t>
      </w:r>
    </w:p>
    <w:p>
      <w:pPr>
        <w:spacing w:after="80"/>
      </w:pPr>
      <w:r>
        <w:rPr>
          <w:b w:val="0"/>
        </w:rPr>
        <w:t>Role: Route the visitor into the right next step after they understand the problem, the model, the payoff, and the trust guardrails.</w:t>
      </w:r>
    </w:p>
    <w:p>
      <w:pPr>
        <w:spacing w:after="80"/>
      </w:pPr>
      <w:r>
        <w:rPr>
          <w:b w:val="0"/>
        </w:rPr>
        <w:t>Reference: Use the CTA section from nodus-homepage-creative-explore.html as the visual and animation starting point. I like the card layout and hover/reveal animation from that version.</w:t>
      </w:r>
    </w:p>
    <w:p>
      <w:pPr>
        <w:pStyle w:val="Heading2"/>
        <w:spacing w:after="120" w:before="240"/>
      </w:pPr>
      <w:r>
        <w:t>Layout</w:t>
      </w:r>
    </w:p>
    <w:p>
      <w:pPr>
        <w:pStyle w:val="ListBullet"/>
        <w:spacing w:after="80"/>
      </w:pPr>
      <w:r>
        <w:t>Centered section intro.</w:t>
      </w:r>
    </w:p>
    <w:p>
      <w:pPr>
        <w:pStyle w:val="ListBullet"/>
        <w:spacing w:after="80"/>
      </w:pPr>
      <w:r>
        <w:t>Two large CTA cards below.</w:t>
      </w:r>
    </w:p>
    <w:p>
      <w:pPr>
        <w:pStyle w:val="ListBullet"/>
        <w:spacing w:after="80"/>
      </w:pPr>
      <w:r>
        <w:t>Left card for Companies.</w:t>
      </w:r>
    </w:p>
    <w:p>
      <w:pPr>
        <w:pStyle w:val="ListBullet"/>
        <w:spacing w:after="80"/>
      </w:pPr>
      <w:r>
        <w:t>Right card for Accounting Firms.</w:t>
      </w:r>
    </w:p>
    <w:p>
      <w:pPr>
        <w:pStyle w:val="ListBullet"/>
        <w:spacing w:after="80"/>
      </w:pPr>
      <w:r>
        <w:t>Dark premium background.</w:t>
      </w:r>
    </w:p>
    <w:p>
      <w:pPr>
        <w:pStyle w:val="ListBullet"/>
        <w:spacing w:after="80"/>
      </w:pPr>
      <w:r>
        <w:t>Subtle animated card reveal / hover treatment.</w:t>
      </w:r>
    </w:p>
    <w:p>
      <w:pPr>
        <w:pStyle w:val="ListBullet"/>
        <w:spacing w:after="80"/>
      </w:pPr>
      <w:r>
        <w:t>Green accent line or motion treatment from the reference file.</w:t>
      </w:r>
    </w:p>
    <w:p>
      <w:pPr>
        <w:pStyle w:val="ListBullet"/>
        <w:spacing w:after="80"/>
      </w:pPr>
      <w:r>
        <w:t>Do not create a third CTA or a separate final CTA section.</w:t>
      </w:r>
    </w:p>
    <w:p>
      <w:pPr>
        <w:pStyle w:val="Heading2"/>
        <w:spacing w:after="120" w:before="240"/>
      </w:pPr>
      <w:r>
        <w:t>Copy</w:t>
      </w:r>
    </w:p>
    <w:p>
      <w:pPr>
        <w:spacing w:after="80"/>
      </w:pPr>
      <w:r>
        <w:rPr>
          <w:b w:val="0"/>
        </w:rPr>
        <w:t>Eyebrow: CHOOSE YOUR PATH</w:t>
      </w:r>
    </w:p>
    <w:p>
      <w:pPr>
        <w:spacing w:after="80"/>
      </w:pPr>
      <w:r>
        <w:rPr>
          <w:b w:val="0"/>
        </w:rPr>
        <w:t>H2: Find the fragile logic before the audit does.</w:t>
      </w:r>
    </w:p>
    <w:p>
      <w:pPr>
        <w:spacing w:after="80"/>
      </w:pPr>
      <w:r>
        <w:rPr>
          <w:b w:val="0"/>
        </w:rPr>
        <w:t>Card 1 - For Companies</w:t>
      </w:r>
    </w:p>
    <w:p>
      <w:pPr>
        <w:spacing w:after="80"/>
      </w:pPr>
      <w:r>
        <w:rPr>
          <w:b w:val="0"/>
        </w:rPr>
        <w:t>Label: FOR COMPANIES</w:t>
      </w:r>
    </w:p>
    <w:p>
      <w:pPr>
        <w:spacing w:after="80"/>
      </w:pPr>
      <w:r>
        <w:rPr>
          <w:b w:val="0"/>
        </w:rPr>
        <w:t>Title: Schedule an ASC 740 Diagnostic</w:t>
      </w:r>
    </w:p>
    <w:p>
      <w:pPr>
        <w:spacing w:after="80"/>
      </w:pPr>
      <w:r>
        <w:rPr>
          <w:b w:val="0"/>
        </w:rPr>
        <w:t>Copy: A structured review of your provision process to identify where assumptions, support, calculations, or review trails may break under pressure.</w:t>
      </w:r>
    </w:p>
    <w:p>
      <w:pPr>
        <w:spacing w:after="80"/>
      </w:pPr>
      <w:r>
        <w:rPr>
          <w:b w:val="0"/>
        </w:rPr>
        <w:t>Button/link: Schedule a Diagnostic -&gt;</w:t>
      </w:r>
    </w:p>
    <w:p>
      <w:pPr>
        <w:spacing w:after="80"/>
      </w:pPr>
      <w:r>
        <w:rPr>
          <w:b w:val="0"/>
        </w:rPr>
        <w:t>Card 2 - For Accounting Firms</w:t>
      </w:r>
    </w:p>
    <w:p>
      <w:pPr>
        <w:spacing w:after="80"/>
      </w:pPr>
      <w:r>
        <w:rPr>
          <w:b w:val="0"/>
        </w:rPr>
        <w:t>Label: FOR ACCOUNTING FIRMS</w:t>
      </w:r>
    </w:p>
    <w:p>
      <w:pPr>
        <w:spacing w:after="80"/>
      </w:pPr>
      <w:r>
        <w:rPr>
          <w:b w:val="0"/>
        </w:rPr>
        <w:t>Title: Request a Partner Overview</w:t>
      </w:r>
    </w:p>
    <w:p>
      <w:pPr>
        <w:spacing w:after="80"/>
      </w:pPr>
      <w:r>
        <w:rPr>
          <w:b w:val="0"/>
        </w:rPr>
        <w:t>Copy: A narrow ASC 740 specialist partner built for clean role separation, cleaner client files, and less review friction.</w:t>
      </w:r>
    </w:p>
    <w:p>
      <w:pPr>
        <w:spacing w:after="80"/>
      </w:pPr>
      <w:r>
        <w:rPr>
          <w:b w:val="0"/>
        </w:rPr>
        <w:t>Button/link: Request an Overview -&gt;</w:t>
      </w:r>
    </w:p>
    <w:p>
      <w:pPr>
        <w:pStyle w:val="Heading2"/>
        <w:spacing w:after="120" w:before="240"/>
      </w:pPr>
      <w:r>
        <w:t>Animation Direction</w:t>
      </w:r>
    </w:p>
    <w:p>
      <w:pPr>
        <w:pStyle w:val="ListBullet"/>
        <w:spacing w:after="80"/>
      </w:pPr>
      <w:r>
        <w:t>Use the CTA card animation style from nodus-homepage-creative-explore.html.</w:t>
      </w:r>
    </w:p>
    <w:p>
      <w:pPr>
        <w:pStyle w:val="ListBullet"/>
        <w:spacing w:after="80"/>
      </w:pPr>
      <w:r>
        <w:t>Cards reveal cleanly as the section enters view.</w:t>
      </w:r>
    </w:p>
    <w:p>
      <w:pPr>
        <w:pStyle w:val="ListBullet"/>
        <w:spacing w:after="80"/>
      </w:pPr>
      <w:r>
        <w:t>Keep motion restrained and premium.</w:t>
      </w:r>
    </w:p>
    <w:p>
      <w:pPr>
        <w:pStyle w:val="ListBullet"/>
        <w:spacing w:after="80"/>
      </w:pPr>
      <w:r>
        <w:t>Hover states may include a subtle green underline/accent expansion.</w:t>
      </w:r>
    </w:p>
    <w:p>
      <w:pPr>
        <w:pStyle w:val="ListBullet"/>
        <w:spacing w:after="80"/>
      </w:pPr>
      <w:r>
        <w:t>Avoid bouncy, flashy, or overly SaaS-style animation.</w:t>
      </w:r>
    </w:p>
    <w:p>
      <w:pPr>
        <w:pStyle w:val="Heading1"/>
        <w:spacing w:after="120" w:before="240"/>
      </w:pPr>
      <w:r>
        <w:t>Section Background Map</w:t>
      </w:r>
    </w:p>
    <w:p>
      <w:pPr>
        <w:pStyle w:val="ListBullet"/>
        <w:spacing w:after="80"/>
      </w:pPr>
      <w:r>
        <w:t>Hero: Ink Navy #0B1220</w:t>
      </w:r>
    </w:p>
    <w:p>
      <w:pPr>
        <w:pStyle w:val="ListBullet"/>
        <w:spacing w:after="80"/>
      </w:pPr>
      <w:r>
        <w:t>The Nodus Difference: White / Soft Light #ffffff or #F7F8FA</w:t>
      </w:r>
    </w:p>
    <w:p>
      <w:pPr>
        <w:pStyle w:val="ListBullet"/>
        <w:spacing w:after="80"/>
      </w:pPr>
      <w:r>
        <w:t>Greater Visibility: #0e172c</w:t>
      </w:r>
    </w:p>
    <w:p>
      <w:pPr>
        <w:pStyle w:val="ListBullet"/>
        <w:spacing w:after="80"/>
      </w:pPr>
      <w:r>
        <w:t>Built for the Work: Ink Navy #0B1220</w:t>
      </w:r>
    </w:p>
    <w:p>
      <w:pPr>
        <w:pStyle w:val="ListBullet"/>
        <w:spacing w:after="80"/>
      </w:pPr>
      <w:r>
        <w:t>What's In It For You: Ink Navy #0B1220 with contained Deep Blue #101a30 panel</w:t>
      </w:r>
    </w:p>
    <w:p>
      <w:pPr>
        <w:pStyle w:val="ListBullet"/>
        <w:spacing w:after="80"/>
      </w:pPr>
      <w:r>
        <w:t>Trust &amp; Control: Ink Navy #0B1220 or subtle dark variation</w:t>
      </w:r>
    </w:p>
    <w:p>
      <w:pPr>
        <w:pStyle w:val="ListBullet"/>
        <w:spacing w:after="80"/>
      </w:pPr>
      <w:r>
        <w:t>Audience CTA: Deep Blue #101a30</w:t>
      </w:r>
    </w:p>
    <w:p>
      <w:pPr>
        <w:pStyle w:val="Heading1"/>
        <w:spacing w:after="120" w:before="240"/>
      </w:pPr>
      <w:r>
        <w:t>Implementation Guardrails for the Next Build</w:t>
      </w:r>
    </w:p>
    <w:p>
      <w:pPr>
        <w:pStyle w:val="ListBullet"/>
        <w:spacing w:after="80"/>
      </w:pPr>
      <w:r>
        <w:t>Use the current homepage file as the starting file unless otherwise specified.</w:t>
      </w:r>
    </w:p>
    <w:p>
      <w:pPr>
        <w:pStyle w:val="ListBullet"/>
        <w:spacing w:after="80"/>
      </w:pPr>
      <w:r>
        <w:t>Do not reintroduce the special Hero-to-Section-2 dark-to-light transition.</w:t>
      </w:r>
    </w:p>
    <w:p>
      <w:pPr>
        <w:pStyle w:val="ListBullet"/>
        <w:spacing w:after="80"/>
      </w:pPr>
      <w:r>
        <w:t>Hero should use graph.mp4 as a one-time intro video and preserve the final compact graph state after the video lands. Do not use graph-subset.json, graph-background.html, or sparse flying dots for the hero.</w:t>
      </w:r>
    </w:p>
    <w:p>
      <w:pPr>
        <w:pStyle w:val="ListBullet"/>
        <w:spacing w:after="80"/>
      </w:pPr>
      <w:r>
        <w:t>Section 2 is approved except for the callout placement and slower trace timing. Preserve its layout, visual, trace coordinates, and overall behavior.</w:t>
      </w:r>
    </w:p>
    <w:p>
      <w:pPr>
        <w:pStyle w:val="ListBullet"/>
        <w:spacing w:after="80"/>
      </w:pPr>
      <w:r>
        <w:t>Section 3 should use the supplied Greater Visibility image exactly as provided, with section background #0e172c and the marker file used only to guide the animated trace overlay.</w:t>
      </w:r>
    </w:p>
    <w:p>
      <w:pPr>
        <w:pStyle w:val="ListBullet"/>
        <w:spacing w:after="80"/>
      </w:pPr>
      <w:r>
        <w:t>Do not attempt to rebuild the Greater Visibility image in HTML/CSS.</w:t>
      </w:r>
    </w:p>
    <w:p>
      <w:pPr>
        <w:pStyle w:val="ListBullet"/>
        <w:spacing w:after="80"/>
      </w:pPr>
      <w:r>
        <w:t>Section 4 pinned behavior and visual sequence are approved. Only remove or replace the Step labels according to the Layer Label Direction.</w:t>
      </w:r>
    </w:p>
    <w:p>
      <w:pPr>
        <w:pStyle w:val="ListBullet"/>
        <w:spacing w:after="80"/>
      </w:pPr>
      <w:r>
        <w:t>Do not let section headlines become the same scale as the hero H1.</w:t>
      </w:r>
    </w:p>
    <w:p>
      <w:pPr>
        <w:pStyle w:val="ListBullet"/>
        <w:spacing w:after="80"/>
      </w:pPr>
      <w:r>
        <w:t>Add Sections 5 and 6 before the CTA. Keep Section 5 benefit-led and boxed. Keep Section 6 trust-led and more compact so the two sections work together without feeling redundant.</w:t>
      </w:r>
    </w:p>
    <w:p>
      <w:pPr>
        <w:pStyle w:val="ListBullet"/>
        <w:spacing w:after="80"/>
      </w:pPr>
      <w:r>
        <w:t>Do not add the standalone Provision Package section back to the homepage. Preserve that content for a deeper services page.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eastAsia="DM Sans"/>
      <w:color w:val="0B12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M Sans" w:hAnsi="DM Sans" w:eastAsia="DM Sans"/>
      <w:b/>
      <w:bCs/>
      <w:color w:val="0B12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M Sans" w:hAnsi="DM Sans" w:eastAsia="DM Sans"/>
      <w:b/>
      <w:bCs/>
      <w:color w:val="0B12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M Sans" w:hAnsi="DM Sans" w:eastAsia="DM Sans"/>
      <w:b/>
      <w:bCs/>
      <w:color w:val="0B12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M Sans" w:hAnsi="DM Sans" w:eastAsia="DM Sans"/>
      <w:b/>
      <w:color w:val="0B12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IBM Plex Mono" w:hAnsi="IBM Plex Mono" w:eastAsia="IBM Plex Mono"/>
      <w:color w:val="28344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