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68D" w:rsidRDefault="00F96CE4" w:rsidP="0069768D">
      <w:pPr>
        <w:pStyle w:val="Title"/>
      </w:pPr>
      <w:r>
        <w:t>Logistics and Rollout Plan</w:t>
      </w:r>
    </w:p>
    <w:p w:rsidR="0069768D" w:rsidRDefault="0002189E" w:rsidP="0069768D">
      <w:pPr>
        <w:pStyle w:val="Subtitle"/>
      </w:pPr>
      <w:proofErr w:type="spellStart"/>
      <w:r>
        <w:t>Woodgrove</w:t>
      </w:r>
      <w:proofErr w:type="spellEnd"/>
      <w:r>
        <w:t xml:space="preserve"> Bank</w:t>
      </w:r>
      <w:r w:rsidR="0069768D">
        <w:t xml:space="preserve"> Reach </w:t>
      </w:r>
      <w:r w:rsidR="00652529">
        <w:t>P</w:t>
      </w:r>
      <w:r w:rsidR="0069768D">
        <w:t>o</w:t>
      </w:r>
      <w:r w:rsidR="000D745A">
        <w:t>rtal</w:t>
      </w:r>
    </w:p>
    <w:p w:rsidR="0071686B" w:rsidRDefault="0071686B" w:rsidP="0071686B">
      <w:pPr>
        <w:pStyle w:val="Heading2"/>
      </w:pPr>
      <w:r>
        <w:t>Document Status</w:t>
      </w:r>
    </w:p>
    <w:tbl>
      <w:tblPr>
        <w:tblStyle w:val="LightShading-Accent11"/>
        <w:tblW w:w="9198" w:type="dxa"/>
        <w:tblLayout w:type="fixed"/>
        <w:tblLook w:val="0400"/>
      </w:tblPr>
      <w:tblGrid>
        <w:gridCol w:w="2436"/>
        <w:gridCol w:w="6762"/>
      </w:tblGrid>
      <w:tr w:rsidR="0071686B" w:rsidTr="0071686B">
        <w:trPr>
          <w:cnfStyle w:val="000000100000"/>
          <w:trHeight w:hRule="exact" w:val="288"/>
        </w:trPr>
        <w:tc>
          <w:tcPr>
            <w:tcW w:w="2436" w:type="dxa"/>
            <w:tcBorders>
              <w:top w:val="single" w:sz="8" w:space="0" w:color="4F81BD" w:themeColor="accent1"/>
              <w:bottom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62" w:type="dxa"/>
            <w:tcBorders>
              <w:top w:val="single" w:sz="8" w:space="0" w:color="4F81BD" w:themeColor="accent1"/>
              <w:bottom w:val="nil"/>
            </w:tcBorders>
            <w:hideMark/>
          </w:tcPr>
          <w:p w:rsidR="0071686B" w:rsidRDefault="00F96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Logistics and Rollout Plan</w:t>
            </w:r>
          </w:p>
        </w:tc>
      </w:tr>
      <w:tr w:rsidR="0071686B" w:rsidTr="0071686B">
        <w:trPr>
          <w:trHeight w:hRule="exact" w:val="288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Author(s)</w:t>
            </w:r>
          </w:p>
        </w:tc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86B" w:rsidRDefault="0071686B" w:rsidP="00F96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</w:t>
            </w:r>
            <w:r w:rsidR="00F96CE4">
              <w:rPr>
                <w:sz w:val="20"/>
                <w:szCs w:val="20"/>
              </w:rPr>
              <w:t>hn</w:t>
            </w:r>
            <w:r>
              <w:rPr>
                <w:sz w:val="20"/>
                <w:szCs w:val="20"/>
              </w:rPr>
              <w:t xml:space="preserve"> Smith</w:t>
            </w:r>
          </w:p>
        </w:tc>
      </w:tr>
      <w:tr w:rsidR="0071686B" w:rsidTr="0071686B">
        <w:trPr>
          <w:cnfStyle w:val="000000100000"/>
          <w:trHeight w:hRule="exact" w:val="288"/>
        </w:trPr>
        <w:tc>
          <w:tcPr>
            <w:tcW w:w="2436" w:type="dxa"/>
            <w:tcBorders>
              <w:top w:val="nil"/>
              <w:bottom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  <w:tc>
          <w:tcPr>
            <w:tcW w:w="6762" w:type="dxa"/>
            <w:tcBorders>
              <w:top w:val="nil"/>
              <w:bottom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Reach Portal project</w:t>
            </w:r>
          </w:p>
        </w:tc>
      </w:tr>
      <w:tr w:rsidR="0071686B" w:rsidTr="0071686B">
        <w:trPr>
          <w:trHeight w:hRule="exact" w:val="288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v0.2</w:t>
            </w:r>
          </w:p>
        </w:tc>
      </w:tr>
      <w:tr w:rsidR="0071686B" w:rsidTr="0071686B">
        <w:trPr>
          <w:cnfStyle w:val="000000100000"/>
          <w:trHeight w:hRule="exact" w:val="288"/>
        </w:trPr>
        <w:tc>
          <w:tcPr>
            <w:tcW w:w="2436" w:type="dxa"/>
            <w:tcBorders>
              <w:top w:val="nil"/>
              <w:bottom w:val="single" w:sz="8" w:space="0" w:color="4F81BD" w:themeColor="accent1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62" w:type="dxa"/>
            <w:tcBorders>
              <w:top w:val="nil"/>
              <w:bottom w:val="single" w:sz="8" w:space="0" w:color="4F81BD" w:themeColor="accent1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</w:t>
            </w:r>
          </w:p>
        </w:tc>
      </w:tr>
    </w:tbl>
    <w:p w:rsidR="0071686B" w:rsidRDefault="0071686B" w:rsidP="0071686B">
      <w:pPr>
        <w:pStyle w:val="Heading2"/>
        <w:rPr>
          <w:lang w:val="en-AU"/>
        </w:rPr>
      </w:pPr>
      <w:r>
        <w:t>Change Record</w:t>
      </w:r>
    </w:p>
    <w:tbl>
      <w:tblPr>
        <w:tblStyle w:val="LightShading-Accent11"/>
        <w:tblW w:w="0" w:type="auto"/>
        <w:tblLook w:val="0420"/>
      </w:tblPr>
      <w:tblGrid>
        <w:gridCol w:w="1567"/>
        <w:gridCol w:w="1059"/>
        <w:gridCol w:w="1284"/>
        <w:gridCol w:w="5288"/>
      </w:tblGrid>
      <w:tr w:rsidR="0071686B" w:rsidTr="0071686B">
        <w:trPr>
          <w:cnfStyle w:val="100000000000"/>
          <w:trHeight w:val="258"/>
        </w:trPr>
        <w:tc>
          <w:tcPr>
            <w:tcW w:w="1567" w:type="dxa"/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59" w:type="dxa"/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1284" w:type="dxa"/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5288" w:type="dxa"/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reference</w:t>
            </w:r>
          </w:p>
        </w:tc>
      </w:tr>
      <w:tr w:rsidR="0071686B" w:rsidTr="0071686B">
        <w:trPr>
          <w:cnfStyle w:val="000000100000"/>
          <w:trHeight w:val="274"/>
        </w:trPr>
        <w:tc>
          <w:tcPr>
            <w:tcW w:w="1567" w:type="dxa"/>
            <w:tcBorders>
              <w:top w:val="nil"/>
              <w:bottom w:val="nil"/>
            </w:tcBorders>
            <w:hideMark/>
          </w:tcPr>
          <w:p w:rsidR="0071686B" w:rsidRDefault="0071686B" w:rsidP="003C0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  <w:r w:rsidR="003C0C12">
              <w:rPr>
                <w:sz w:val="20"/>
                <w:szCs w:val="20"/>
              </w:rPr>
              <w:t>Feb</w:t>
            </w:r>
          </w:p>
        </w:tc>
        <w:tc>
          <w:tcPr>
            <w:tcW w:w="1059" w:type="dxa"/>
            <w:tcBorders>
              <w:top w:val="nil"/>
              <w:bottom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 Smith</w:t>
            </w:r>
          </w:p>
        </w:tc>
        <w:tc>
          <w:tcPr>
            <w:tcW w:w="1284" w:type="dxa"/>
            <w:tcBorders>
              <w:top w:val="nil"/>
              <w:bottom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5288" w:type="dxa"/>
            <w:tcBorders>
              <w:top w:val="nil"/>
              <w:bottom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 for review/discussion</w:t>
            </w:r>
          </w:p>
        </w:tc>
      </w:tr>
      <w:tr w:rsidR="0071686B" w:rsidTr="0071686B">
        <w:trPr>
          <w:trHeight w:val="258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86B" w:rsidRDefault="0071686B" w:rsidP="003C0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</w:t>
            </w:r>
            <w:r w:rsidR="003C0C12">
              <w:rPr>
                <w:sz w:val="20"/>
                <w:szCs w:val="20"/>
              </w:rPr>
              <w:t>Aug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 Smith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v0.2</w:t>
            </w: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86B" w:rsidRDefault="003C0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Changes relating to detail of web hosting site</w:t>
            </w:r>
          </w:p>
        </w:tc>
      </w:tr>
      <w:tr w:rsidR="0071686B" w:rsidTr="0071686B">
        <w:trPr>
          <w:cnfStyle w:val="000000100000"/>
          <w:trHeight w:val="274"/>
        </w:trPr>
        <w:tc>
          <w:tcPr>
            <w:tcW w:w="1567" w:type="dxa"/>
            <w:tcBorders>
              <w:top w:val="nil"/>
              <w:bottom w:val="single" w:sz="8" w:space="0" w:color="4F81BD" w:themeColor="accent1"/>
            </w:tcBorders>
          </w:tcPr>
          <w:p w:rsidR="0071686B" w:rsidRDefault="0071686B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bottom w:val="single" w:sz="8" w:space="0" w:color="4F81BD" w:themeColor="accent1"/>
            </w:tcBorders>
          </w:tcPr>
          <w:p w:rsidR="0071686B" w:rsidRDefault="0071686B">
            <w:pPr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single" w:sz="8" w:space="0" w:color="4F81BD" w:themeColor="accent1"/>
            </w:tcBorders>
          </w:tcPr>
          <w:p w:rsidR="0071686B" w:rsidRDefault="0071686B">
            <w:pPr>
              <w:rPr>
                <w:sz w:val="20"/>
                <w:szCs w:val="20"/>
              </w:rPr>
            </w:pPr>
          </w:p>
        </w:tc>
        <w:tc>
          <w:tcPr>
            <w:tcW w:w="5288" w:type="dxa"/>
            <w:tcBorders>
              <w:top w:val="nil"/>
              <w:bottom w:val="single" w:sz="8" w:space="0" w:color="4F81BD" w:themeColor="accent1"/>
            </w:tcBorders>
          </w:tcPr>
          <w:p w:rsidR="0071686B" w:rsidRDefault="0071686B">
            <w:pPr>
              <w:rPr>
                <w:sz w:val="20"/>
                <w:szCs w:val="20"/>
              </w:rPr>
            </w:pPr>
          </w:p>
        </w:tc>
      </w:tr>
    </w:tbl>
    <w:p w:rsidR="0071686B" w:rsidRDefault="0071686B" w:rsidP="0071686B">
      <w:pPr>
        <w:pStyle w:val="Heading2"/>
        <w:rPr>
          <w:lang w:val="en-AU"/>
        </w:rPr>
      </w:pPr>
      <w:r>
        <w:t>Reviewers</w:t>
      </w:r>
    </w:p>
    <w:tbl>
      <w:tblPr>
        <w:tblStyle w:val="LightShading-Accent11"/>
        <w:tblW w:w="0" w:type="auto"/>
        <w:tblLook w:val="0420"/>
      </w:tblPr>
      <w:tblGrid>
        <w:gridCol w:w="1529"/>
        <w:gridCol w:w="1833"/>
        <w:gridCol w:w="4216"/>
        <w:gridCol w:w="1603"/>
      </w:tblGrid>
      <w:tr w:rsidR="0071686B" w:rsidTr="0071686B">
        <w:trPr>
          <w:cnfStyle w:val="100000000000"/>
          <w:trHeight w:val="275"/>
        </w:trPr>
        <w:tc>
          <w:tcPr>
            <w:tcW w:w="1529" w:type="dxa"/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833" w:type="dxa"/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reviewed</w:t>
            </w:r>
          </w:p>
        </w:tc>
        <w:tc>
          <w:tcPr>
            <w:tcW w:w="4216" w:type="dxa"/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603" w:type="dxa"/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71686B" w:rsidTr="0071686B">
        <w:trPr>
          <w:cnfStyle w:val="000000100000"/>
          <w:trHeight w:val="275"/>
        </w:trPr>
        <w:tc>
          <w:tcPr>
            <w:tcW w:w="1529" w:type="dxa"/>
            <w:tcBorders>
              <w:top w:val="nil"/>
              <w:bottom w:val="nil"/>
            </w:tcBorders>
            <w:hideMark/>
          </w:tcPr>
          <w:p w:rsidR="0071686B" w:rsidRDefault="00F96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Simpson</w:t>
            </w:r>
          </w:p>
        </w:tc>
        <w:tc>
          <w:tcPr>
            <w:tcW w:w="1833" w:type="dxa"/>
            <w:tcBorders>
              <w:top w:val="nil"/>
              <w:bottom w:val="nil"/>
            </w:tcBorders>
            <w:hideMark/>
          </w:tcPr>
          <w:p w:rsidR="0071686B" w:rsidRDefault="00716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v0.2</w:t>
            </w:r>
          </w:p>
        </w:tc>
        <w:tc>
          <w:tcPr>
            <w:tcW w:w="4216" w:type="dxa"/>
            <w:tcBorders>
              <w:top w:val="nil"/>
              <w:bottom w:val="nil"/>
            </w:tcBorders>
            <w:hideMark/>
          </w:tcPr>
          <w:p w:rsidR="0071686B" w:rsidRDefault="003C0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</w:t>
            </w:r>
          </w:p>
        </w:tc>
        <w:tc>
          <w:tcPr>
            <w:tcW w:w="1603" w:type="dxa"/>
            <w:tcBorders>
              <w:top w:val="nil"/>
              <w:bottom w:val="nil"/>
            </w:tcBorders>
            <w:hideMark/>
          </w:tcPr>
          <w:p w:rsidR="0071686B" w:rsidRDefault="0071686B" w:rsidP="003C0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  <w:r w:rsidR="003C0C12">
              <w:rPr>
                <w:sz w:val="20"/>
                <w:szCs w:val="20"/>
              </w:rPr>
              <w:t>Aug</w:t>
            </w:r>
          </w:p>
        </w:tc>
      </w:tr>
      <w:tr w:rsidR="0071686B" w:rsidTr="0071686B">
        <w:trPr>
          <w:trHeight w:val="258"/>
        </w:trPr>
        <w:tc>
          <w:tcPr>
            <w:tcW w:w="1529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71686B" w:rsidRDefault="0071686B">
            <w:pPr>
              <w:rPr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71686B" w:rsidRDefault="0071686B">
            <w:pPr>
              <w:rPr>
                <w:sz w:val="20"/>
                <w:szCs w:val="20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71686B" w:rsidRDefault="0071686B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71686B" w:rsidRDefault="0071686B">
            <w:pPr>
              <w:rPr>
                <w:sz w:val="20"/>
                <w:szCs w:val="20"/>
              </w:rPr>
            </w:pPr>
          </w:p>
        </w:tc>
      </w:tr>
    </w:tbl>
    <w:p w:rsidR="000F4BDD" w:rsidRPr="005F5EEC" w:rsidRDefault="003C0C12" w:rsidP="00776E2D">
      <w:pPr>
        <w:pStyle w:val="Heading2"/>
        <w:rPr>
          <w:rFonts w:eastAsia="Times New Roman"/>
        </w:rPr>
      </w:pPr>
      <w:r>
        <w:t xml:space="preserve">Purpose of </w:t>
      </w:r>
      <w:r w:rsidR="00652529">
        <w:t>T</w:t>
      </w:r>
      <w:r>
        <w:t xml:space="preserve">his </w:t>
      </w:r>
      <w:r w:rsidR="00652529">
        <w:t>D</w:t>
      </w:r>
      <w:r>
        <w:t>ocument</w:t>
      </w:r>
    </w:p>
    <w:p w:rsidR="000F4BDD" w:rsidRDefault="00D24944" w:rsidP="00D24944">
      <w:r>
        <w:t xml:space="preserve">A </w:t>
      </w:r>
      <w:r w:rsidR="0055553F">
        <w:t xml:space="preserve">logistics and rollout </w:t>
      </w:r>
      <w:r>
        <w:t>plan documents the strategies, ap</w:t>
      </w:r>
      <w:r w:rsidR="00CC195A">
        <w:t xml:space="preserve">proaches, and considerations towards achieving </w:t>
      </w:r>
      <w:r>
        <w:t>a successful deployment, and identifies how to best deploy the different aspects of the solution.</w:t>
      </w:r>
    </w:p>
    <w:p w:rsidR="003C0C12" w:rsidRDefault="003C0C12" w:rsidP="00D24944">
      <w:r>
        <w:t>This is a living document</w:t>
      </w:r>
      <w:r w:rsidR="00652529">
        <w:t>,</w:t>
      </w:r>
      <w:r>
        <w:t xml:space="preserve"> which means the contents </w:t>
      </w:r>
      <w:r w:rsidR="003A3431">
        <w:t>will be</w:t>
      </w:r>
      <w:r>
        <w:t xml:space="preserve"> revised </w:t>
      </w:r>
      <w:r w:rsidR="003A3431">
        <w:t xml:space="preserve">and improved </w:t>
      </w:r>
      <w:r>
        <w:t xml:space="preserve">as </w:t>
      </w:r>
      <w:r w:rsidR="003A3431">
        <w:t>more substantial</w:t>
      </w:r>
      <w:r>
        <w:t xml:space="preserve"> information becomes known </w:t>
      </w:r>
      <w:r w:rsidR="003A3431">
        <w:t xml:space="preserve">from </w:t>
      </w:r>
      <w:r>
        <w:t xml:space="preserve">the investigation and design activities </w:t>
      </w:r>
      <w:r w:rsidR="003A3431">
        <w:t>during the project development.</w:t>
      </w:r>
    </w:p>
    <w:p w:rsidR="00D24944" w:rsidRDefault="00D24944" w:rsidP="00776E2D">
      <w:pPr>
        <w:pStyle w:val="Heading2"/>
        <w:rPr>
          <w:rFonts w:eastAsiaTheme="minorEastAsia"/>
        </w:rPr>
      </w:pPr>
      <w:r w:rsidRPr="00D24944">
        <w:rPr>
          <w:rFonts w:eastAsiaTheme="minorEastAsia"/>
        </w:rPr>
        <w:t>Installation Strategy</w:t>
      </w:r>
      <w:r w:rsidR="000C651E">
        <w:rPr>
          <w:rFonts w:eastAsiaTheme="minorEastAsia"/>
        </w:rPr>
        <w:t xml:space="preserve"> – Iteration 1</w:t>
      </w:r>
    </w:p>
    <w:p w:rsidR="000F4BDD" w:rsidRDefault="000F4BDD" w:rsidP="000F4BDD">
      <w:r>
        <w:t xml:space="preserve">The installation strategy for the </w:t>
      </w:r>
      <w:r w:rsidR="003C0C12">
        <w:t xml:space="preserve">first iteration of the </w:t>
      </w:r>
      <w:proofErr w:type="spellStart"/>
      <w:r w:rsidR="0002189E">
        <w:t>Woodgrove</w:t>
      </w:r>
      <w:proofErr w:type="spellEnd"/>
      <w:r w:rsidR="0002189E">
        <w:t xml:space="preserve"> Bank</w:t>
      </w:r>
      <w:r>
        <w:t xml:space="preserve"> </w:t>
      </w:r>
      <w:r w:rsidR="00063649">
        <w:t xml:space="preserve">solution </w:t>
      </w:r>
      <w:r w:rsidR="003C0C12">
        <w:t xml:space="preserve">will be phased. The first </w:t>
      </w:r>
      <w:r w:rsidR="0055553F">
        <w:t>release</w:t>
      </w:r>
      <w:r w:rsidR="003C0C12">
        <w:t xml:space="preserve"> will cover the functionality of </w:t>
      </w:r>
      <w:r w:rsidR="0055553F">
        <w:t xml:space="preserve">the </w:t>
      </w:r>
      <w:r>
        <w:t xml:space="preserve">Bill Payment </w:t>
      </w:r>
      <w:r w:rsidR="0055553F">
        <w:t xml:space="preserve">iteration </w:t>
      </w:r>
      <w:r w:rsidR="003C0C12">
        <w:t>only</w:t>
      </w:r>
      <w:r>
        <w:t xml:space="preserve">. The functionality will be piloted by a closed control group and will subsequently be opened to full public </w:t>
      </w:r>
      <w:r w:rsidR="00652529">
        <w:t>W</w:t>
      </w:r>
      <w:r>
        <w:t xml:space="preserve">eb access. The functionality will be hosted on our existing resilient hosting services and following successful pilot evaluation, deployment will be performed in one </w:t>
      </w:r>
      <w:r w:rsidR="003C0C12">
        <w:t xml:space="preserve">extended </w:t>
      </w:r>
      <w:r>
        <w:t>installation during a weekend.</w:t>
      </w:r>
      <w:r w:rsidR="003C0C12">
        <w:t xml:space="preserve"> The scope of the first iteration is not considered to be excessive</w:t>
      </w:r>
      <w:r w:rsidR="00652529">
        <w:t xml:space="preserve">; </w:t>
      </w:r>
      <w:r w:rsidR="003C0C12">
        <w:t>therefore</w:t>
      </w:r>
      <w:r w:rsidR="00652529">
        <w:t xml:space="preserve">, </w:t>
      </w:r>
      <w:r w:rsidR="003C0C12">
        <w:t>a one-time semi-scripted installation will be performed with staff on site.</w:t>
      </w:r>
    </w:p>
    <w:p w:rsidR="000C651E" w:rsidRDefault="000C651E" w:rsidP="000C651E">
      <w:pPr>
        <w:pStyle w:val="Heading2"/>
      </w:pPr>
      <w:r>
        <w:t>Deployment Architecture</w:t>
      </w:r>
    </w:p>
    <w:p w:rsidR="000C651E" w:rsidRPr="000C651E" w:rsidRDefault="000C651E" w:rsidP="000C651E">
      <w:r>
        <w:t xml:space="preserve">The deployment strategy is dependent on the design of the solution. The Bill Presentment system is based on a multi-tier </w:t>
      </w:r>
      <w:r w:rsidR="00063649">
        <w:t xml:space="preserve">federated </w:t>
      </w:r>
      <w:r>
        <w:t xml:space="preserve">architecture which must interact with two external systems </w:t>
      </w:r>
      <w:r w:rsidR="00063649">
        <w:t xml:space="preserve">through an enterprise-wide message bus </w:t>
      </w:r>
      <w:r>
        <w:t xml:space="preserve">for its operation. Please refer to the detailed deployment architecture </w:t>
      </w:r>
      <w:r>
        <w:lastRenderedPageBreak/>
        <w:t xml:space="preserve">artifacts produced during the iteration - these include the number of servers to be commissioned, the physical site </w:t>
      </w:r>
      <w:r w:rsidR="00063649">
        <w:t xml:space="preserve">map and </w:t>
      </w:r>
      <w:r>
        <w:t>layout, network traffic volumes and resilient ISP connectivity/proxy designs. A</w:t>
      </w:r>
      <w:r w:rsidR="00063649">
        <w:t>n</w:t>
      </w:r>
      <w:r>
        <w:t xml:space="preserve"> </w:t>
      </w:r>
      <w:r w:rsidR="00063649">
        <w:t xml:space="preserve">early, </w:t>
      </w:r>
      <w:r>
        <w:t>partial representation is shown in the Physical Schematic, below.</w:t>
      </w:r>
    </w:p>
    <w:p w:rsidR="00D24944" w:rsidRDefault="00D24944" w:rsidP="00776E2D">
      <w:pPr>
        <w:pStyle w:val="Heading2"/>
      </w:pPr>
      <w:r>
        <w:t>Contingency (Business Continuation) Planning</w:t>
      </w:r>
    </w:p>
    <w:p w:rsidR="000F4BDD" w:rsidRPr="000F4BDD" w:rsidRDefault="000F4BDD" w:rsidP="000F4BDD">
      <w:r>
        <w:t xml:space="preserve">Because Bill Payment is a new capability for </w:t>
      </w:r>
      <w:proofErr w:type="spellStart"/>
      <w:r w:rsidR="0002189E">
        <w:t>Woodgrove</w:t>
      </w:r>
      <w:proofErr w:type="spellEnd"/>
      <w:r w:rsidR="0002189E">
        <w:t xml:space="preserve"> Bank</w:t>
      </w:r>
      <w:r>
        <w:t xml:space="preserve">, no fall-back </w:t>
      </w:r>
      <w:r w:rsidR="00D8208A">
        <w:t xml:space="preserve">to a previous system </w:t>
      </w:r>
      <w:r>
        <w:t xml:space="preserve">exists during the initial live implementation. </w:t>
      </w:r>
      <w:r w:rsidR="00D8208A">
        <w:t>A</w:t>
      </w:r>
      <w:r w:rsidR="00652529">
        <w:t xml:space="preserve">fter </w:t>
      </w:r>
      <w:r>
        <w:t>a significant volume of traffic is reaching the Bill Presentment site each week, we will provide contingency by</w:t>
      </w:r>
      <w:r w:rsidR="00652529">
        <w:t xml:space="preserve"> means of a backup and restore </w:t>
      </w:r>
      <w:r>
        <w:t>process, taken incrementally each day and a full backup each weekend.</w:t>
      </w:r>
      <w:r w:rsidR="003C0C12">
        <w:t xml:space="preserve"> In addition, we will be commissioning a hot backup site</w:t>
      </w:r>
      <w:r w:rsidR="00652529">
        <w:t>,</w:t>
      </w:r>
      <w:r w:rsidR="003C0C12">
        <w:t xml:space="preserve"> which will serve subsequent iterations of this project. This backup site will be</w:t>
      </w:r>
      <w:r w:rsidR="00652529">
        <w:t xml:space="preserve"> configured to support a fail-</w:t>
      </w:r>
      <w:r w:rsidR="003C0C12">
        <w:t>over in the event of a significant event causing outage at the master site.</w:t>
      </w:r>
    </w:p>
    <w:p w:rsidR="00D24944" w:rsidRDefault="00D24944" w:rsidP="00776E2D">
      <w:pPr>
        <w:pStyle w:val="Heading2"/>
      </w:pPr>
      <w:r w:rsidRPr="00D24944">
        <w:t>Feedback Approach</w:t>
      </w:r>
    </w:p>
    <w:p w:rsidR="000F4BDD" w:rsidRPr="000F4BDD" w:rsidRDefault="000F4BDD" w:rsidP="000F4BDD">
      <w:r>
        <w:t xml:space="preserve">The pilot will deliver feedback to the development team from the closed control group of users for a 6-week period. Following this, coinciding with the full live implementation, we will enable the standard </w:t>
      </w:r>
      <w:proofErr w:type="spellStart"/>
      <w:r w:rsidR="0002189E">
        <w:t>Woodgrove</w:t>
      </w:r>
      <w:proofErr w:type="spellEnd"/>
      <w:r w:rsidR="0002189E">
        <w:t xml:space="preserve"> Bank</w:t>
      </w:r>
      <w:r>
        <w:t xml:space="preserve"> helpdesk to be able to field calls from the public regarding any difficulties with the Bill Presentation and Payment system. This calls for a schedule of </w:t>
      </w:r>
      <w:r w:rsidR="003836AB">
        <w:t xml:space="preserve">support </w:t>
      </w:r>
      <w:r>
        <w:t xml:space="preserve">training to be implemented during the </w:t>
      </w:r>
      <w:r w:rsidR="003836AB">
        <w:t>pilot phase.</w:t>
      </w:r>
    </w:p>
    <w:p w:rsidR="00D24944" w:rsidRDefault="00D24944" w:rsidP="00776E2D">
      <w:pPr>
        <w:pStyle w:val="Heading2"/>
      </w:pPr>
      <w:r>
        <w:t>Deployment Mechanisms</w:t>
      </w:r>
    </w:p>
    <w:p w:rsidR="003836AB" w:rsidRPr="003836AB" w:rsidRDefault="00D8208A" w:rsidP="003836AB">
      <w:r w:rsidRPr="00D8208A">
        <w:t xml:space="preserve">The Bill Presentment functionality is the first release of the Reach Portal. The deployment of this initial release </w:t>
      </w:r>
      <w:r>
        <w:t xml:space="preserve">will achieve </w:t>
      </w:r>
      <w:r w:rsidRPr="00D8208A">
        <w:t xml:space="preserve">a </w:t>
      </w:r>
      <w:r>
        <w:t xml:space="preserve">major objective by demonstrating </w:t>
      </w:r>
      <w:r w:rsidRPr="00D8208A">
        <w:t xml:space="preserve">that </w:t>
      </w:r>
      <w:r>
        <w:t xml:space="preserve">scripted remote </w:t>
      </w:r>
      <w:r w:rsidRPr="00D8208A">
        <w:t xml:space="preserve">deployment can be used to install and update functionality </w:t>
      </w:r>
      <w:r>
        <w:t xml:space="preserve">on major customer systems </w:t>
      </w:r>
      <w:r w:rsidRPr="00D8208A">
        <w:t>in the live data center.</w:t>
      </w:r>
      <w:r>
        <w:t xml:space="preserve"> </w:t>
      </w:r>
      <w:r w:rsidR="003836AB">
        <w:t xml:space="preserve">The </w:t>
      </w:r>
      <w:r>
        <w:t xml:space="preserve">automated </w:t>
      </w:r>
      <w:r w:rsidR="003836AB">
        <w:t xml:space="preserve">installation will include a </w:t>
      </w:r>
      <w:r>
        <w:t xml:space="preserve">substantial </w:t>
      </w:r>
      <w:r w:rsidR="003836AB">
        <w:t>suite of tests and checks that will run on the servers to ens</w:t>
      </w:r>
      <w:r>
        <w:t xml:space="preserve">ure installation was successful </w:t>
      </w:r>
      <w:r w:rsidR="003836AB">
        <w:t>and configuration is complete.</w:t>
      </w:r>
      <w:r w:rsidR="005F5EEC">
        <w:t xml:space="preserve"> This installation will be monitored by the development team and control can be taken over remotely </w:t>
      </w:r>
      <w:r w:rsidR="00652529">
        <w:t xml:space="preserve">if </w:t>
      </w:r>
      <w:r w:rsidR="005F5EEC">
        <w:t>any major issues arise.</w:t>
      </w:r>
      <w:r w:rsidR="000C651E">
        <w:t xml:space="preserve"> The deployment procedure will be documented in a technical </w:t>
      </w:r>
      <w:r w:rsidR="00CC195A">
        <w:t>document</w:t>
      </w:r>
      <w:r w:rsidR="000C651E">
        <w:t xml:space="preserve"> which lists the sequence for </w:t>
      </w:r>
      <w:r>
        <w:t>running deployment tests</w:t>
      </w:r>
      <w:r w:rsidR="000C651E">
        <w:t xml:space="preserve">, </w:t>
      </w:r>
      <w:r>
        <w:t xml:space="preserve">with </w:t>
      </w:r>
      <w:r w:rsidR="000C651E">
        <w:t xml:space="preserve">required pre-conditions and expected results, along with troubleshooting and </w:t>
      </w:r>
      <w:r>
        <w:t>roll-back procedures. The deployment procedure and associated documentation will be tested as a deliverable during the development of the project.</w:t>
      </w:r>
    </w:p>
    <w:p w:rsidR="00D24944" w:rsidRDefault="00D24944" w:rsidP="00776E2D">
      <w:pPr>
        <w:pStyle w:val="Heading2"/>
      </w:pPr>
      <w:r>
        <w:t>Deployment Resources</w:t>
      </w:r>
    </w:p>
    <w:p w:rsidR="005F5EEC" w:rsidRPr="005F5EEC" w:rsidRDefault="005F5EEC" w:rsidP="005F5EEC">
      <w:r>
        <w:t xml:space="preserve">The deployment/roll-out team </w:t>
      </w:r>
      <w:r w:rsidR="009B3EC1">
        <w:t>is</w:t>
      </w:r>
      <w:r>
        <w:t xml:space="preserve"> staffed by </w:t>
      </w:r>
      <w:proofErr w:type="spellStart"/>
      <w:r w:rsidR="0002189E">
        <w:t>Woodgrove</w:t>
      </w:r>
      <w:proofErr w:type="spellEnd"/>
      <w:r w:rsidR="0002189E">
        <w:t xml:space="preserve"> Bank</w:t>
      </w:r>
      <w:r>
        <w:t xml:space="preserve"> FTE resources.</w:t>
      </w:r>
    </w:p>
    <w:p w:rsidR="00D24944" w:rsidRDefault="00D24944" w:rsidP="00776E2D">
      <w:pPr>
        <w:pStyle w:val="Heading2"/>
      </w:pPr>
      <w:r>
        <w:t xml:space="preserve">Systems </w:t>
      </w:r>
      <w:r w:rsidR="000D745A">
        <w:t>S</w:t>
      </w:r>
      <w:r>
        <w:t xml:space="preserve">upport </w:t>
      </w:r>
      <w:r w:rsidR="000D745A">
        <w:t>A</w:t>
      </w:r>
      <w:r>
        <w:t>pproach</w:t>
      </w:r>
    </w:p>
    <w:p w:rsidR="00D24944" w:rsidRDefault="005F5EEC" w:rsidP="005F5EEC">
      <w:r>
        <w:t xml:space="preserve">As described </w:t>
      </w:r>
      <w:r w:rsidR="00652529">
        <w:t>earlier</w:t>
      </w:r>
      <w:r>
        <w:t xml:space="preserve">, the deployment of the Bill Presentment system will operate under a pilot program followed by a full implementation. After this has been stabilized and signed-off, support will be tiered through the standard </w:t>
      </w:r>
      <w:proofErr w:type="spellStart"/>
      <w:r w:rsidR="0002189E">
        <w:t>Woodgrove</w:t>
      </w:r>
      <w:proofErr w:type="spellEnd"/>
      <w:r w:rsidR="0002189E">
        <w:t xml:space="preserve"> Bank</w:t>
      </w:r>
      <w:r>
        <w:t xml:space="preserve"> helpdesk (public facing).</w:t>
      </w:r>
    </w:p>
    <w:p w:rsidR="003C0C12" w:rsidRDefault="003C0C12" w:rsidP="00776E2D">
      <w:pPr>
        <w:pStyle w:val="Heading2"/>
      </w:pPr>
      <w:r>
        <w:t>Timeline</w:t>
      </w:r>
    </w:p>
    <w:p w:rsidR="003C0C12" w:rsidRDefault="003C0C12" w:rsidP="003C0C12">
      <w:r>
        <w:t xml:space="preserve">The deployment for the </w:t>
      </w:r>
      <w:r w:rsidR="00776E2D">
        <w:t xml:space="preserve">overall </w:t>
      </w:r>
      <w:r>
        <w:t xml:space="preserve">project </w:t>
      </w:r>
      <w:r w:rsidR="000D745A">
        <w:t xml:space="preserve">will take </w:t>
      </w:r>
      <w:r w:rsidR="00776E2D">
        <w:t xml:space="preserve">in parallel with the development project. At </w:t>
      </w:r>
      <w:r w:rsidR="00652529">
        <w:t xml:space="preserve">the </w:t>
      </w:r>
      <w:r w:rsidR="00776E2D">
        <w:t>time of writing, the following are tentative dates:</w:t>
      </w:r>
    </w:p>
    <w:tbl>
      <w:tblPr>
        <w:tblStyle w:val="LightShading-Accent1"/>
        <w:tblW w:w="0" w:type="auto"/>
        <w:tblLook w:val="04A0"/>
      </w:tblPr>
      <w:tblGrid>
        <w:gridCol w:w="1208"/>
        <w:gridCol w:w="1765"/>
        <w:gridCol w:w="3578"/>
        <w:gridCol w:w="3025"/>
      </w:tblGrid>
      <w:tr w:rsidR="00776E2D" w:rsidTr="00776E2D">
        <w:trPr>
          <w:cnfStyle w:val="100000000000"/>
        </w:trPr>
        <w:tc>
          <w:tcPr>
            <w:cnfStyle w:val="001000000000"/>
            <w:tcW w:w="1208" w:type="dxa"/>
            <w:hideMark/>
          </w:tcPr>
          <w:p w:rsidR="00776E2D" w:rsidRDefault="00776E2D">
            <w:r>
              <w:t>Iteration</w:t>
            </w:r>
          </w:p>
        </w:tc>
        <w:tc>
          <w:tcPr>
            <w:tcW w:w="1765" w:type="dxa"/>
            <w:hideMark/>
          </w:tcPr>
          <w:p w:rsidR="00776E2D" w:rsidRDefault="00776E2D">
            <w:pPr>
              <w:cnfStyle w:val="100000000000"/>
            </w:pPr>
            <w:r>
              <w:t>Timeframe</w:t>
            </w:r>
          </w:p>
        </w:tc>
        <w:tc>
          <w:tcPr>
            <w:tcW w:w="3578" w:type="dxa"/>
            <w:hideMark/>
          </w:tcPr>
          <w:p w:rsidR="00776E2D" w:rsidRDefault="00652529" w:rsidP="00652529">
            <w:pPr>
              <w:cnfStyle w:val="100000000000"/>
            </w:pPr>
            <w:r>
              <w:t>Major f</w:t>
            </w:r>
            <w:r w:rsidR="00776E2D">
              <w:t xml:space="preserve">eature </w:t>
            </w:r>
            <w:r>
              <w:t>a</w:t>
            </w:r>
            <w:r w:rsidR="00776E2D">
              <w:t>rea</w:t>
            </w:r>
          </w:p>
        </w:tc>
        <w:tc>
          <w:tcPr>
            <w:tcW w:w="3025" w:type="dxa"/>
          </w:tcPr>
          <w:p w:rsidR="00776E2D" w:rsidRDefault="00776E2D" w:rsidP="00652529">
            <w:pPr>
              <w:cnfStyle w:val="100000000000"/>
            </w:pPr>
            <w:r>
              <w:t xml:space="preserve">Estimated </w:t>
            </w:r>
            <w:r w:rsidR="00652529">
              <w:t>d</w:t>
            </w:r>
            <w:r>
              <w:t>eployment</w:t>
            </w:r>
          </w:p>
        </w:tc>
      </w:tr>
      <w:tr w:rsidR="00776E2D" w:rsidTr="00776E2D">
        <w:trPr>
          <w:cnfStyle w:val="000000100000"/>
        </w:trPr>
        <w:tc>
          <w:tcPr>
            <w:cnfStyle w:val="001000000000"/>
            <w:tcW w:w="1208" w:type="dxa"/>
            <w:tcBorders>
              <w:top w:val="nil"/>
              <w:bottom w:val="nil"/>
            </w:tcBorders>
            <w:hideMark/>
          </w:tcPr>
          <w:p w:rsidR="00776E2D" w:rsidRDefault="00776E2D">
            <w:r>
              <w:t>Iteration 1</w:t>
            </w:r>
          </w:p>
        </w:tc>
        <w:tc>
          <w:tcPr>
            <w:tcW w:w="1765" w:type="dxa"/>
            <w:tcBorders>
              <w:top w:val="nil"/>
              <w:bottom w:val="nil"/>
            </w:tcBorders>
            <w:hideMark/>
          </w:tcPr>
          <w:p w:rsidR="00776E2D" w:rsidRDefault="00776E2D">
            <w:pPr>
              <w:cnfStyle w:val="000000100000"/>
            </w:pPr>
            <w:r>
              <w:t>February-April</w:t>
            </w:r>
          </w:p>
        </w:tc>
        <w:tc>
          <w:tcPr>
            <w:tcW w:w="3578" w:type="dxa"/>
            <w:tcBorders>
              <w:top w:val="nil"/>
              <w:bottom w:val="nil"/>
            </w:tcBorders>
          </w:tcPr>
          <w:p w:rsidR="00776E2D" w:rsidRDefault="00776E2D">
            <w:pPr>
              <w:cnfStyle w:val="000000100000"/>
            </w:pPr>
            <w:r>
              <w:t>Implement bill presentment &amp; payment service</w:t>
            </w:r>
          </w:p>
          <w:p w:rsidR="00776E2D" w:rsidRDefault="00776E2D">
            <w:pPr>
              <w:cnfStyle w:val="000000100000"/>
            </w:pPr>
          </w:p>
        </w:tc>
        <w:tc>
          <w:tcPr>
            <w:tcW w:w="3025" w:type="dxa"/>
            <w:tcBorders>
              <w:top w:val="nil"/>
              <w:bottom w:val="nil"/>
            </w:tcBorders>
          </w:tcPr>
          <w:p w:rsidR="00776E2D" w:rsidRDefault="00776E2D">
            <w:pPr>
              <w:cnfStyle w:val="000000100000"/>
            </w:pPr>
            <w:r>
              <w:t>May</w:t>
            </w:r>
          </w:p>
        </w:tc>
      </w:tr>
      <w:tr w:rsidR="00776E2D" w:rsidTr="00776E2D">
        <w:tc>
          <w:tcPr>
            <w:cnfStyle w:val="001000000000"/>
            <w:tcW w:w="1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6E2D" w:rsidRDefault="00776E2D">
            <w:r>
              <w:lastRenderedPageBreak/>
              <w:t>Iteration 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6E2D" w:rsidRDefault="00776E2D">
            <w:pPr>
              <w:cnfStyle w:val="000000000000"/>
            </w:pPr>
            <w:r>
              <w:t>April-June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776E2D" w:rsidRDefault="00776E2D">
            <w:pPr>
              <w:cnfStyle w:val="000000000000"/>
            </w:pPr>
            <w:r>
              <w:t xml:space="preserve">Extend existing checking, balance &amp; transfer services </w:t>
            </w:r>
          </w:p>
          <w:p w:rsidR="00776E2D" w:rsidRDefault="00776E2D">
            <w:pPr>
              <w:cnfStyle w:val="000000000000"/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:rsidR="00776E2D" w:rsidRDefault="00776E2D">
            <w:pPr>
              <w:cnfStyle w:val="000000000000"/>
            </w:pPr>
            <w:r>
              <w:t>July</w:t>
            </w:r>
          </w:p>
        </w:tc>
      </w:tr>
      <w:tr w:rsidR="00776E2D" w:rsidTr="00776E2D">
        <w:trPr>
          <w:cnfStyle w:val="000000100000"/>
        </w:trPr>
        <w:tc>
          <w:tcPr>
            <w:cnfStyle w:val="001000000000"/>
            <w:tcW w:w="1208" w:type="dxa"/>
            <w:tcBorders>
              <w:top w:val="nil"/>
              <w:bottom w:val="nil"/>
            </w:tcBorders>
            <w:hideMark/>
          </w:tcPr>
          <w:p w:rsidR="00776E2D" w:rsidRDefault="00776E2D">
            <w:r>
              <w:t>Iteration 3</w:t>
            </w:r>
          </w:p>
        </w:tc>
        <w:tc>
          <w:tcPr>
            <w:tcW w:w="1765" w:type="dxa"/>
            <w:tcBorders>
              <w:top w:val="nil"/>
              <w:bottom w:val="nil"/>
            </w:tcBorders>
            <w:hideMark/>
          </w:tcPr>
          <w:p w:rsidR="00776E2D" w:rsidRDefault="00776E2D">
            <w:pPr>
              <w:cnfStyle w:val="000000100000"/>
            </w:pPr>
            <w:r>
              <w:t>June-August</w:t>
            </w:r>
          </w:p>
        </w:tc>
        <w:tc>
          <w:tcPr>
            <w:tcW w:w="3578" w:type="dxa"/>
            <w:tcBorders>
              <w:top w:val="nil"/>
              <w:bottom w:val="nil"/>
            </w:tcBorders>
          </w:tcPr>
          <w:p w:rsidR="00776E2D" w:rsidRDefault="00776E2D">
            <w:pPr>
              <w:cnfStyle w:val="000000100000"/>
            </w:pPr>
            <w:r>
              <w:t>Integrate mortgages – calculator &amp; applications online</w:t>
            </w:r>
          </w:p>
          <w:p w:rsidR="00776E2D" w:rsidRDefault="00776E2D">
            <w:pPr>
              <w:cnfStyle w:val="000000100000"/>
            </w:pPr>
          </w:p>
        </w:tc>
        <w:tc>
          <w:tcPr>
            <w:tcW w:w="3025" w:type="dxa"/>
            <w:tcBorders>
              <w:top w:val="nil"/>
              <w:bottom w:val="nil"/>
            </w:tcBorders>
          </w:tcPr>
          <w:p w:rsidR="00776E2D" w:rsidRDefault="00776E2D">
            <w:pPr>
              <w:cnfStyle w:val="000000100000"/>
            </w:pPr>
            <w:r>
              <w:t>September</w:t>
            </w:r>
          </w:p>
        </w:tc>
      </w:tr>
      <w:tr w:rsidR="00776E2D" w:rsidTr="00776E2D">
        <w:tc>
          <w:tcPr>
            <w:cnfStyle w:val="001000000000"/>
            <w:tcW w:w="1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6E2D" w:rsidRDefault="00776E2D">
            <w:r>
              <w:t>Iteration 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76E2D" w:rsidRDefault="00776E2D">
            <w:pPr>
              <w:cnfStyle w:val="000000000000"/>
            </w:pPr>
            <w:r>
              <w:t>August-October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776E2D" w:rsidRDefault="00776E2D">
            <w:pPr>
              <w:cnfStyle w:val="000000000000"/>
            </w:pPr>
            <w:r>
              <w:t>Online currency ordering &amp; wire transfers</w:t>
            </w:r>
          </w:p>
          <w:p w:rsidR="00776E2D" w:rsidRDefault="00776E2D">
            <w:pPr>
              <w:cnfStyle w:val="000000000000"/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:rsidR="00776E2D" w:rsidRDefault="00776E2D">
            <w:pPr>
              <w:cnfStyle w:val="000000000000"/>
            </w:pPr>
            <w:r>
              <w:t>TBD</w:t>
            </w:r>
          </w:p>
        </w:tc>
      </w:tr>
      <w:tr w:rsidR="00776E2D" w:rsidTr="00776E2D">
        <w:trPr>
          <w:cnfStyle w:val="000000100000"/>
        </w:trPr>
        <w:tc>
          <w:tcPr>
            <w:cnfStyle w:val="001000000000"/>
            <w:tcW w:w="1208" w:type="dxa"/>
            <w:tcBorders>
              <w:top w:val="nil"/>
              <w:bottom w:val="single" w:sz="8" w:space="0" w:color="4F81BD" w:themeColor="accent1"/>
            </w:tcBorders>
            <w:hideMark/>
          </w:tcPr>
          <w:p w:rsidR="00776E2D" w:rsidRDefault="00776E2D">
            <w:r>
              <w:t>Iteration 5</w:t>
            </w:r>
          </w:p>
        </w:tc>
        <w:tc>
          <w:tcPr>
            <w:tcW w:w="1765" w:type="dxa"/>
            <w:tcBorders>
              <w:top w:val="nil"/>
              <w:bottom w:val="single" w:sz="8" w:space="0" w:color="4F81BD" w:themeColor="accent1"/>
            </w:tcBorders>
            <w:hideMark/>
          </w:tcPr>
          <w:p w:rsidR="00776E2D" w:rsidRDefault="00776E2D">
            <w:pPr>
              <w:cnfStyle w:val="000000100000"/>
            </w:pPr>
            <w:r>
              <w:t>October-December</w:t>
            </w:r>
          </w:p>
        </w:tc>
        <w:tc>
          <w:tcPr>
            <w:tcW w:w="3578" w:type="dxa"/>
            <w:tcBorders>
              <w:top w:val="nil"/>
              <w:bottom w:val="single" w:sz="8" w:space="0" w:color="4F81BD" w:themeColor="accent1"/>
            </w:tcBorders>
          </w:tcPr>
          <w:p w:rsidR="00776E2D" w:rsidRDefault="00776E2D">
            <w:pPr>
              <w:cnfStyle w:val="000000100000"/>
            </w:pPr>
            <w:r>
              <w:t>Integrate existing Securities and Mutual Funds services</w:t>
            </w:r>
          </w:p>
          <w:p w:rsidR="00776E2D" w:rsidRDefault="00776E2D">
            <w:pPr>
              <w:cnfStyle w:val="000000100000"/>
            </w:pPr>
          </w:p>
        </w:tc>
        <w:tc>
          <w:tcPr>
            <w:tcW w:w="3025" w:type="dxa"/>
            <w:tcBorders>
              <w:top w:val="nil"/>
              <w:bottom w:val="single" w:sz="8" w:space="0" w:color="4F81BD" w:themeColor="accent1"/>
            </w:tcBorders>
          </w:tcPr>
          <w:p w:rsidR="00776E2D" w:rsidRDefault="00776E2D">
            <w:pPr>
              <w:cnfStyle w:val="000000100000"/>
            </w:pPr>
            <w:r>
              <w:t>TBD</w:t>
            </w:r>
          </w:p>
        </w:tc>
      </w:tr>
    </w:tbl>
    <w:p w:rsidR="003C0C12" w:rsidRDefault="003C0C12" w:rsidP="00776E2D">
      <w:pPr>
        <w:pStyle w:val="Heading2"/>
      </w:pPr>
      <w:r>
        <w:t>Physical Schematic</w:t>
      </w:r>
    </w:p>
    <w:p w:rsidR="003C0C12" w:rsidRPr="003C0C12" w:rsidRDefault="003C0C12" w:rsidP="003C0C12">
      <w:r>
        <w:t xml:space="preserve">The following is a </w:t>
      </w:r>
      <w:r w:rsidRPr="000D745A">
        <w:rPr>
          <w:rStyle w:val="Emphasis"/>
        </w:rPr>
        <w:t>placeholder</w:t>
      </w:r>
      <w:r>
        <w:t xml:space="preserve"> for the deployment schematic for the roll-out to the </w:t>
      </w:r>
      <w:proofErr w:type="spellStart"/>
      <w:r w:rsidR="0002189E">
        <w:t>Woodgrove</w:t>
      </w:r>
      <w:proofErr w:type="spellEnd"/>
      <w:r w:rsidR="0002189E">
        <w:t xml:space="preserve"> Bank</w:t>
      </w:r>
      <w:r>
        <w:t xml:space="preserve"> data center. The actual deployment design will be undertaken as a</w:t>
      </w:r>
      <w:r w:rsidR="00063649">
        <w:t xml:space="preserve"> set of tasks </w:t>
      </w:r>
      <w:r>
        <w:t>during the project development and full schematics will be produced</w:t>
      </w:r>
      <w:r w:rsidR="00652529">
        <w:t>,</w:t>
      </w:r>
      <w:r>
        <w:t xml:space="preserve"> outlining the configuration of servers at the web hosting site.</w:t>
      </w:r>
    </w:p>
    <w:p w:rsidR="002748CF" w:rsidRDefault="002748CF" w:rsidP="000D745A">
      <w:pPr>
        <w:jc w:val="center"/>
        <w:rPr>
          <w:rStyle w:val="Emphasis"/>
        </w:rPr>
      </w:pPr>
      <w:r>
        <w:rPr>
          <w:noProof/>
          <w:lang w:val="en-AU" w:eastAsia="en-AU"/>
        </w:rPr>
        <w:drawing>
          <wp:inline distT="0" distB="0" distL="0" distR="0">
            <wp:extent cx="5553075" cy="3716436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1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E2D" w:rsidRPr="00776E2D" w:rsidRDefault="00776E2D" w:rsidP="000D745A">
      <w:pPr>
        <w:jc w:val="center"/>
        <w:rPr>
          <w:rStyle w:val="Emphasis"/>
        </w:rPr>
      </w:pPr>
      <w:r w:rsidRPr="00776E2D">
        <w:rPr>
          <w:rStyle w:val="Emphasis"/>
        </w:rPr>
        <w:t xml:space="preserve">Placeholder for </w:t>
      </w:r>
      <w:proofErr w:type="spellStart"/>
      <w:r w:rsidR="0002189E">
        <w:rPr>
          <w:rStyle w:val="Emphasis"/>
        </w:rPr>
        <w:t>Woodgrove</w:t>
      </w:r>
      <w:proofErr w:type="spellEnd"/>
      <w:r w:rsidR="0002189E">
        <w:rPr>
          <w:rStyle w:val="Emphasis"/>
        </w:rPr>
        <w:t xml:space="preserve"> Bank</w:t>
      </w:r>
      <w:r w:rsidRPr="00776E2D">
        <w:rPr>
          <w:rStyle w:val="Emphasis"/>
        </w:rPr>
        <w:t xml:space="preserve"> deployment design</w:t>
      </w:r>
    </w:p>
    <w:sectPr w:rsidR="00776E2D" w:rsidRPr="00776E2D" w:rsidSect="00C74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53F" w:rsidRDefault="0055553F" w:rsidP="00B35F81">
      <w:pPr>
        <w:spacing w:after="0" w:line="240" w:lineRule="auto"/>
      </w:pPr>
      <w:r>
        <w:separator/>
      </w:r>
    </w:p>
  </w:endnote>
  <w:endnote w:type="continuationSeparator" w:id="1">
    <w:p w:rsidR="0055553F" w:rsidRDefault="0055553F" w:rsidP="00B3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3F" w:rsidRDefault="005555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3F" w:rsidRDefault="005555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3F" w:rsidRDefault="005555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53F" w:rsidRDefault="0055553F" w:rsidP="00B35F81">
      <w:pPr>
        <w:spacing w:after="0" w:line="240" w:lineRule="auto"/>
      </w:pPr>
      <w:r>
        <w:separator/>
      </w:r>
    </w:p>
  </w:footnote>
  <w:footnote w:type="continuationSeparator" w:id="1">
    <w:p w:rsidR="0055553F" w:rsidRDefault="0055553F" w:rsidP="00B3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3F" w:rsidRDefault="005555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3F" w:rsidRDefault="0055553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3F" w:rsidRDefault="005555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633A"/>
    <w:multiLevelType w:val="hybridMultilevel"/>
    <w:tmpl w:val="013C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37F15"/>
    <w:multiLevelType w:val="hybridMultilevel"/>
    <w:tmpl w:val="C3DE93F0"/>
    <w:lvl w:ilvl="0" w:tplc="3130560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24605"/>
    <w:multiLevelType w:val="hybridMultilevel"/>
    <w:tmpl w:val="0EA89164"/>
    <w:lvl w:ilvl="0" w:tplc="1E1C5AF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05823"/>
    <w:multiLevelType w:val="hybridMultilevel"/>
    <w:tmpl w:val="E618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57D4C"/>
    <w:multiLevelType w:val="hybridMultilevel"/>
    <w:tmpl w:val="354C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B181E"/>
    <w:multiLevelType w:val="hybridMultilevel"/>
    <w:tmpl w:val="E416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D61DF"/>
    <w:multiLevelType w:val="hybridMultilevel"/>
    <w:tmpl w:val="E832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590CA7"/>
    <w:multiLevelType w:val="multilevel"/>
    <w:tmpl w:val="448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FA79E2"/>
    <w:multiLevelType w:val="hybridMultilevel"/>
    <w:tmpl w:val="2A9A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D400E"/>
    <w:multiLevelType w:val="hybridMultilevel"/>
    <w:tmpl w:val="13EEEEE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2E5579"/>
    <w:multiLevelType w:val="hybridMultilevel"/>
    <w:tmpl w:val="A14A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8540A"/>
    <w:multiLevelType w:val="hybridMultilevel"/>
    <w:tmpl w:val="6BA65D8C"/>
    <w:lvl w:ilvl="0" w:tplc="1D8A77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2F73"/>
    <w:rsid w:val="00002F73"/>
    <w:rsid w:val="0002189E"/>
    <w:rsid w:val="00034D3C"/>
    <w:rsid w:val="00063649"/>
    <w:rsid w:val="000A7B93"/>
    <w:rsid w:val="000C651E"/>
    <w:rsid w:val="000D745A"/>
    <w:rsid w:val="000E32E0"/>
    <w:rsid w:val="000E609E"/>
    <w:rsid w:val="000F4BDD"/>
    <w:rsid w:val="00103E91"/>
    <w:rsid w:val="001137BF"/>
    <w:rsid w:val="001730D9"/>
    <w:rsid w:val="002748CF"/>
    <w:rsid w:val="002E28E7"/>
    <w:rsid w:val="00303090"/>
    <w:rsid w:val="00325FFD"/>
    <w:rsid w:val="003836AB"/>
    <w:rsid w:val="003A3431"/>
    <w:rsid w:val="003C0C12"/>
    <w:rsid w:val="003D7E4C"/>
    <w:rsid w:val="004E0D62"/>
    <w:rsid w:val="00502BCF"/>
    <w:rsid w:val="0050794A"/>
    <w:rsid w:val="0055553F"/>
    <w:rsid w:val="005B50CC"/>
    <w:rsid w:val="005E4F08"/>
    <w:rsid w:val="005F5EEC"/>
    <w:rsid w:val="00652529"/>
    <w:rsid w:val="0069690E"/>
    <w:rsid w:val="0069768D"/>
    <w:rsid w:val="006D3C39"/>
    <w:rsid w:val="006D437A"/>
    <w:rsid w:val="0071686B"/>
    <w:rsid w:val="007577B9"/>
    <w:rsid w:val="00770288"/>
    <w:rsid w:val="00776E2D"/>
    <w:rsid w:val="00783C02"/>
    <w:rsid w:val="00792D74"/>
    <w:rsid w:val="007B128A"/>
    <w:rsid w:val="007F1169"/>
    <w:rsid w:val="007F5E42"/>
    <w:rsid w:val="00832789"/>
    <w:rsid w:val="00846773"/>
    <w:rsid w:val="0085183F"/>
    <w:rsid w:val="00865FFC"/>
    <w:rsid w:val="008764BE"/>
    <w:rsid w:val="008B2C5F"/>
    <w:rsid w:val="008B3975"/>
    <w:rsid w:val="009860DF"/>
    <w:rsid w:val="009B3EC1"/>
    <w:rsid w:val="009D67FF"/>
    <w:rsid w:val="009E1EFC"/>
    <w:rsid w:val="00A0418F"/>
    <w:rsid w:val="00A428E1"/>
    <w:rsid w:val="00A627E7"/>
    <w:rsid w:val="00A91CF8"/>
    <w:rsid w:val="00AC6DA2"/>
    <w:rsid w:val="00AE3359"/>
    <w:rsid w:val="00AF70BA"/>
    <w:rsid w:val="00B023EE"/>
    <w:rsid w:val="00B154E6"/>
    <w:rsid w:val="00B35F81"/>
    <w:rsid w:val="00B47186"/>
    <w:rsid w:val="00B9260F"/>
    <w:rsid w:val="00BA765F"/>
    <w:rsid w:val="00BD2AA9"/>
    <w:rsid w:val="00BF0B98"/>
    <w:rsid w:val="00C74896"/>
    <w:rsid w:val="00CC195A"/>
    <w:rsid w:val="00CD319A"/>
    <w:rsid w:val="00D23D62"/>
    <w:rsid w:val="00D24944"/>
    <w:rsid w:val="00D8208A"/>
    <w:rsid w:val="00DA484D"/>
    <w:rsid w:val="00DE4E72"/>
    <w:rsid w:val="00DF06BD"/>
    <w:rsid w:val="00E17D2B"/>
    <w:rsid w:val="00E53EED"/>
    <w:rsid w:val="00EF64DC"/>
    <w:rsid w:val="00F40C74"/>
    <w:rsid w:val="00F96CE4"/>
    <w:rsid w:val="00FA2DCE"/>
    <w:rsid w:val="00FD4C9A"/>
    <w:rsid w:val="00FF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96"/>
  </w:style>
  <w:style w:type="paragraph" w:styleId="Heading1">
    <w:name w:val="heading 1"/>
    <w:basedOn w:val="Normal"/>
    <w:next w:val="Normal"/>
    <w:link w:val="Heading1Char"/>
    <w:uiPriority w:val="9"/>
    <w:qFormat/>
    <w:rsid w:val="00A428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2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B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2F73"/>
    <w:pPr>
      <w:ind w:left="720"/>
      <w:contextualSpacing/>
    </w:pPr>
    <w:rPr>
      <w:rFonts w:ascii="Calibri" w:eastAsia="Calibri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F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2F73"/>
    <w:rPr>
      <w:b/>
      <w:bCs/>
    </w:rPr>
  </w:style>
  <w:style w:type="paragraph" w:customStyle="1" w:styleId="Default">
    <w:name w:val="Default"/>
    <w:rsid w:val="009E1E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hapTitle1">
    <w:name w:val="ChapTitle+1"/>
    <w:basedOn w:val="Default"/>
    <w:next w:val="Default"/>
    <w:uiPriority w:val="99"/>
    <w:rsid w:val="009E1EFC"/>
    <w:rPr>
      <w:color w:val="auto"/>
    </w:rPr>
  </w:style>
  <w:style w:type="paragraph" w:customStyle="1" w:styleId="Normal1">
    <w:name w:val="Normal+1"/>
    <w:basedOn w:val="Default"/>
    <w:next w:val="Default"/>
    <w:uiPriority w:val="99"/>
    <w:rsid w:val="009E1EFC"/>
    <w:rPr>
      <w:color w:val="auto"/>
    </w:rPr>
  </w:style>
  <w:style w:type="table" w:customStyle="1" w:styleId="LightShading-Accent11">
    <w:name w:val="Light Shading - Accent 11"/>
    <w:basedOn w:val="TableNormal"/>
    <w:uiPriority w:val="60"/>
    <w:rsid w:val="0071686B"/>
    <w:pPr>
      <w:spacing w:after="0" w:line="240" w:lineRule="auto"/>
    </w:pPr>
    <w:rPr>
      <w:rFonts w:eastAsiaTheme="minorHAnsi"/>
      <w:color w:val="365F91" w:themeColor="accent1" w:themeShade="BF"/>
      <w:lang w:val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428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6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976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6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6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4B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12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0D7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0D745A"/>
    <w:rPr>
      <w:i/>
      <w:iCs/>
    </w:rPr>
  </w:style>
  <w:style w:type="table" w:styleId="LightShading-Accent1">
    <w:name w:val="Light Shading Accent 1"/>
    <w:basedOn w:val="TableNormal"/>
    <w:uiPriority w:val="60"/>
    <w:rsid w:val="00776E2D"/>
    <w:pPr>
      <w:spacing w:after="0" w:line="240" w:lineRule="auto"/>
    </w:pPr>
    <w:rPr>
      <w:rFonts w:eastAsiaTheme="minorHAnsi"/>
      <w:color w:val="365F91" w:themeColor="accent1" w:themeShade="BF"/>
      <w:lang w:val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3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35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35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F81"/>
  </w:style>
  <w:style w:type="paragraph" w:styleId="Footer">
    <w:name w:val="footer"/>
    <w:basedOn w:val="Normal"/>
    <w:link w:val="FooterChar"/>
    <w:uiPriority w:val="99"/>
    <w:semiHidden/>
    <w:unhideWhenUsed/>
    <w:rsid w:val="00B35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2007-12-14T05:26:00Z</dcterms:created>
  <dcterms:modified xsi:type="dcterms:W3CDTF">2008-01-10T14:34:00Z</dcterms:modified>
</cp:coreProperties>
</file>