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8B8" w:rsidRDefault="00CC17D9" w:rsidP="00FB4D88">
      <w:pPr>
        <w:pStyle w:val="Title"/>
      </w:pPr>
      <w:r>
        <w:t>Persona Definition</w:t>
      </w:r>
      <w:r w:rsidR="000756B0">
        <w:t>s</w:t>
      </w:r>
    </w:p>
    <w:p w:rsidR="00FB4D88" w:rsidRDefault="005E53F0" w:rsidP="00FB4D88">
      <w:pPr>
        <w:pStyle w:val="Subtitle"/>
      </w:pPr>
      <w:r>
        <w:t>Woodgrove Bank</w:t>
      </w:r>
      <w:r w:rsidR="00FB4D88">
        <w:t xml:space="preserve"> Reach </w:t>
      </w:r>
      <w:r w:rsidR="00B84D2B">
        <w:t>P</w:t>
      </w:r>
      <w:r w:rsidR="00FB4D88">
        <w:t>ortal</w:t>
      </w:r>
    </w:p>
    <w:p w:rsidR="00E11AA0" w:rsidRPr="00E11AA0" w:rsidRDefault="007E0CDE" w:rsidP="007E0CDE">
      <w:pPr>
        <w:pStyle w:val="Heading2"/>
      </w:pPr>
      <w:r>
        <w:t xml:space="preserve">Document </w:t>
      </w:r>
      <w:r w:rsidR="00E11AA0">
        <w:t>Status</w:t>
      </w:r>
    </w:p>
    <w:tbl>
      <w:tblPr>
        <w:tblStyle w:val="LightShading-Accent11"/>
        <w:tblW w:w="9129" w:type="dxa"/>
        <w:tblLayout w:type="fixed"/>
        <w:tblLook w:val="0400"/>
      </w:tblPr>
      <w:tblGrid>
        <w:gridCol w:w="2434"/>
        <w:gridCol w:w="6695"/>
      </w:tblGrid>
      <w:tr w:rsidR="00E128C6" w:rsidRPr="007E0CDE" w:rsidTr="0089149D">
        <w:trPr>
          <w:cnfStyle w:val="000000100000"/>
          <w:trHeight w:hRule="exact" w:val="288"/>
        </w:trPr>
        <w:tc>
          <w:tcPr>
            <w:tcW w:w="2434" w:type="dxa"/>
          </w:tcPr>
          <w:p w:rsidR="00E128C6" w:rsidRPr="007E0CDE" w:rsidRDefault="00E128C6" w:rsidP="00DC4A19">
            <w:pPr>
              <w:rPr>
                <w:sz w:val="20"/>
                <w:szCs w:val="20"/>
              </w:rPr>
            </w:pPr>
            <w:r w:rsidRPr="007E0CDE">
              <w:rPr>
                <w:sz w:val="20"/>
                <w:szCs w:val="20"/>
              </w:rPr>
              <w:t>Title</w:t>
            </w:r>
          </w:p>
        </w:tc>
        <w:tc>
          <w:tcPr>
            <w:tcW w:w="6695" w:type="dxa"/>
          </w:tcPr>
          <w:p w:rsidR="00E128C6" w:rsidRPr="007E0CDE" w:rsidRDefault="00E128C6" w:rsidP="00DC4A19">
            <w:pPr>
              <w:rPr>
                <w:sz w:val="20"/>
                <w:szCs w:val="20"/>
              </w:rPr>
            </w:pPr>
            <w:r w:rsidRPr="007E0CDE">
              <w:rPr>
                <w:sz w:val="20"/>
                <w:szCs w:val="20"/>
              </w:rPr>
              <w:t>Persona Definition</w:t>
            </w:r>
          </w:p>
        </w:tc>
      </w:tr>
      <w:tr w:rsidR="00E11AA0" w:rsidRPr="007E0CDE" w:rsidTr="0089149D">
        <w:trPr>
          <w:trHeight w:hRule="exact" w:val="288"/>
        </w:trPr>
        <w:tc>
          <w:tcPr>
            <w:tcW w:w="2434" w:type="dxa"/>
          </w:tcPr>
          <w:p w:rsidR="00E11AA0" w:rsidRPr="007E0CDE" w:rsidRDefault="00E11AA0" w:rsidP="00DC4A19">
            <w:pPr>
              <w:rPr>
                <w:sz w:val="20"/>
                <w:szCs w:val="20"/>
              </w:rPr>
            </w:pPr>
            <w:r w:rsidRPr="007E0CDE">
              <w:rPr>
                <w:sz w:val="20"/>
                <w:szCs w:val="20"/>
              </w:rPr>
              <w:t>Author</w:t>
            </w:r>
            <w:r w:rsidR="00E128C6" w:rsidRPr="007E0CDE">
              <w:rPr>
                <w:sz w:val="20"/>
                <w:szCs w:val="20"/>
              </w:rPr>
              <w:t>(s)</w:t>
            </w:r>
          </w:p>
        </w:tc>
        <w:tc>
          <w:tcPr>
            <w:tcW w:w="6695" w:type="dxa"/>
          </w:tcPr>
          <w:p w:rsidR="00E11AA0" w:rsidRPr="007E0CDE" w:rsidRDefault="008E03A1" w:rsidP="00DC4A19">
            <w:pPr>
              <w:rPr>
                <w:sz w:val="20"/>
                <w:szCs w:val="20"/>
              </w:rPr>
            </w:pPr>
            <w:r>
              <w:rPr>
                <w:sz w:val="20"/>
                <w:szCs w:val="20"/>
              </w:rPr>
              <w:t>John Smith</w:t>
            </w:r>
          </w:p>
        </w:tc>
      </w:tr>
      <w:tr w:rsidR="00E11AA0" w:rsidRPr="007E0CDE" w:rsidTr="0089149D">
        <w:trPr>
          <w:cnfStyle w:val="000000100000"/>
          <w:trHeight w:hRule="exact" w:val="288"/>
        </w:trPr>
        <w:tc>
          <w:tcPr>
            <w:tcW w:w="2434" w:type="dxa"/>
          </w:tcPr>
          <w:p w:rsidR="00E11AA0" w:rsidRPr="007E0CDE" w:rsidRDefault="00E11AA0" w:rsidP="00DC4A19">
            <w:pPr>
              <w:rPr>
                <w:sz w:val="20"/>
                <w:szCs w:val="20"/>
              </w:rPr>
            </w:pPr>
            <w:r w:rsidRPr="007E0CDE">
              <w:rPr>
                <w:sz w:val="20"/>
                <w:szCs w:val="20"/>
              </w:rPr>
              <w:t>Team</w:t>
            </w:r>
          </w:p>
        </w:tc>
        <w:tc>
          <w:tcPr>
            <w:tcW w:w="6695" w:type="dxa"/>
          </w:tcPr>
          <w:p w:rsidR="00E11AA0" w:rsidRPr="007E0CDE" w:rsidRDefault="00E11AA0" w:rsidP="00DC4A19">
            <w:pPr>
              <w:rPr>
                <w:sz w:val="20"/>
                <w:szCs w:val="20"/>
              </w:rPr>
            </w:pPr>
            <w:r w:rsidRPr="007E0CDE">
              <w:rPr>
                <w:sz w:val="20"/>
                <w:szCs w:val="20"/>
              </w:rPr>
              <w:t>Reach</w:t>
            </w:r>
            <w:r w:rsidR="007E0CDE">
              <w:rPr>
                <w:sz w:val="20"/>
                <w:szCs w:val="20"/>
              </w:rPr>
              <w:t xml:space="preserve"> </w:t>
            </w:r>
            <w:r w:rsidRPr="007E0CDE">
              <w:rPr>
                <w:sz w:val="20"/>
                <w:szCs w:val="20"/>
              </w:rPr>
              <w:t>Portal project</w:t>
            </w:r>
          </w:p>
        </w:tc>
      </w:tr>
      <w:tr w:rsidR="00E11AA0" w:rsidRPr="007E0CDE" w:rsidTr="0089149D">
        <w:trPr>
          <w:trHeight w:hRule="exact" w:val="288"/>
        </w:trPr>
        <w:tc>
          <w:tcPr>
            <w:tcW w:w="2434" w:type="dxa"/>
          </w:tcPr>
          <w:p w:rsidR="00E11AA0" w:rsidRPr="007E0CDE" w:rsidRDefault="00E11AA0" w:rsidP="00DC4A19">
            <w:pPr>
              <w:rPr>
                <w:sz w:val="20"/>
                <w:szCs w:val="20"/>
              </w:rPr>
            </w:pPr>
            <w:r w:rsidRPr="007E0CDE">
              <w:rPr>
                <w:sz w:val="20"/>
                <w:szCs w:val="20"/>
              </w:rPr>
              <w:t>Version</w:t>
            </w:r>
          </w:p>
        </w:tc>
        <w:tc>
          <w:tcPr>
            <w:tcW w:w="6695" w:type="dxa"/>
          </w:tcPr>
          <w:p w:rsidR="00E11AA0" w:rsidRPr="007E0CDE" w:rsidRDefault="007E0CDE" w:rsidP="0089149D">
            <w:pPr>
              <w:rPr>
                <w:sz w:val="20"/>
                <w:szCs w:val="20"/>
              </w:rPr>
            </w:pPr>
            <w:r w:rsidRPr="007E0CDE">
              <w:rPr>
                <w:sz w:val="20"/>
                <w:szCs w:val="20"/>
              </w:rPr>
              <w:t>v</w:t>
            </w:r>
            <w:r w:rsidR="00E11AA0" w:rsidRPr="007E0CDE">
              <w:rPr>
                <w:sz w:val="20"/>
                <w:szCs w:val="20"/>
              </w:rPr>
              <w:t>0.</w:t>
            </w:r>
            <w:r w:rsidR="0089149D" w:rsidRPr="007E0CDE">
              <w:rPr>
                <w:sz w:val="20"/>
                <w:szCs w:val="20"/>
              </w:rPr>
              <w:t>2</w:t>
            </w:r>
          </w:p>
        </w:tc>
      </w:tr>
      <w:tr w:rsidR="00E11AA0" w:rsidRPr="007E0CDE" w:rsidTr="0089149D">
        <w:trPr>
          <w:cnfStyle w:val="000000100000"/>
          <w:trHeight w:hRule="exact" w:val="288"/>
        </w:trPr>
        <w:tc>
          <w:tcPr>
            <w:tcW w:w="2434" w:type="dxa"/>
          </w:tcPr>
          <w:p w:rsidR="00E11AA0" w:rsidRPr="007E0CDE" w:rsidRDefault="00E11AA0" w:rsidP="00DC4A19">
            <w:pPr>
              <w:rPr>
                <w:sz w:val="20"/>
                <w:szCs w:val="20"/>
              </w:rPr>
            </w:pPr>
            <w:r w:rsidRPr="007E0CDE">
              <w:rPr>
                <w:sz w:val="20"/>
                <w:szCs w:val="20"/>
              </w:rPr>
              <w:t>Status</w:t>
            </w:r>
          </w:p>
        </w:tc>
        <w:tc>
          <w:tcPr>
            <w:tcW w:w="6695" w:type="dxa"/>
          </w:tcPr>
          <w:p w:rsidR="00E11AA0" w:rsidRPr="007E0CDE" w:rsidRDefault="00E11AA0" w:rsidP="00E11AA0">
            <w:pPr>
              <w:rPr>
                <w:sz w:val="20"/>
                <w:szCs w:val="20"/>
              </w:rPr>
            </w:pPr>
            <w:r w:rsidRPr="007E0CDE">
              <w:rPr>
                <w:sz w:val="20"/>
                <w:szCs w:val="20"/>
              </w:rPr>
              <w:t>Draft</w:t>
            </w:r>
          </w:p>
        </w:tc>
      </w:tr>
    </w:tbl>
    <w:p w:rsidR="00E11AA0" w:rsidRDefault="0089149D" w:rsidP="007E0CDE">
      <w:pPr>
        <w:pStyle w:val="Heading2"/>
      </w:pPr>
      <w:r>
        <w:t>Change Record</w:t>
      </w:r>
    </w:p>
    <w:tbl>
      <w:tblPr>
        <w:tblStyle w:val="LightShading-Accent11"/>
        <w:tblW w:w="0" w:type="auto"/>
        <w:tblLook w:val="0420"/>
      </w:tblPr>
      <w:tblGrid>
        <w:gridCol w:w="1526"/>
        <w:gridCol w:w="1031"/>
        <w:gridCol w:w="1250"/>
        <w:gridCol w:w="5107"/>
      </w:tblGrid>
      <w:tr w:rsidR="0089149D" w:rsidTr="0089149D">
        <w:trPr>
          <w:cnfStyle w:val="100000000000"/>
        </w:trPr>
        <w:tc>
          <w:tcPr>
            <w:tcW w:w="1526" w:type="dxa"/>
          </w:tcPr>
          <w:p w:rsidR="0089149D" w:rsidRPr="007E0CDE" w:rsidRDefault="0089149D" w:rsidP="00DC4A19">
            <w:pPr>
              <w:rPr>
                <w:sz w:val="20"/>
                <w:szCs w:val="20"/>
              </w:rPr>
            </w:pPr>
            <w:r w:rsidRPr="007E0CDE">
              <w:rPr>
                <w:sz w:val="20"/>
                <w:szCs w:val="20"/>
              </w:rPr>
              <w:t>Date</w:t>
            </w:r>
          </w:p>
        </w:tc>
        <w:tc>
          <w:tcPr>
            <w:tcW w:w="1031" w:type="dxa"/>
          </w:tcPr>
          <w:p w:rsidR="0089149D" w:rsidRPr="007E0CDE" w:rsidRDefault="0089149D" w:rsidP="00DC4A19">
            <w:pPr>
              <w:rPr>
                <w:sz w:val="20"/>
                <w:szCs w:val="20"/>
              </w:rPr>
            </w:pPr>
            <w:r w:rsidRPr="007E0CDE">
              <w:rPr>
                <w:sz w:val="20"/>
                <w:szCs w:val="20"/>
              </w:rPr>
              <w:t>Author</w:t>
            </w:r>
          </w:p>
        </w:tc>
        <w:tc>
          <w:tcPr>
            <w:tcW w:w="1250" w:type="dxa"/>
          </w:tcPr>
          <w:p w:rsidR="0089149D" w:rsidRPr="007E0CDE" w:rsidRDefault="0089149D" w:rsidP="00DC4A19">
            <w:pPr>
              <w:rPr>
                <w:sz w:val="20"/>
                <w:szCs w:val="20"/>
              </w:rPr>
            </w:pPr>
            <w:r w:rsidRPr="007E0CDE">
              <w:rPr>
                <w:sz w:val="20"/>
                <w:szCs w:val="20"/>
              </w:rPr>
              <w:t>Version</w:t>
            </w:r>
          </w:p>
        </w:tc>
        <w:tc>
          <w:tcPr>
            <w:tcW w:w="5107" w:type="dxa"/>
          </w:tcPr>
          <w:p w:rsidR="0089149D" w:rsidRPr="007E0CDE" w:rsidRDefault="0089149D" w:rsidP="00DC4A19">
            <w:pPr>
              <w:rPr>
                <w:sz w:val="20"/>
                <w:szCs w:val="20"/>
              </w:rPr>
            </w:pPr>
            <w:r w:rsidRPr="007E0CDE">
              <w:rPr>
                <w:sz w:val="20"/>
                <w:szCs w:val="20"/>
              </w:rPr>
              <w:t>Change reference</w:t>
            </w:r>
          </w:p>
        </w:tc>
      </w:tr>
      <w:tr w:rsidR="0089149D" w:rsidTr="0089149D">
        <w:trPr>
          <w:cnfStyle w:val="000000100000"/>
        </w:trPr>
        <w:tc>
          <w:tcPr>
            <w:tcW w:w="1526" w:type="dxa"/>
          </w:tcPr>
          <w:p w:rsidR="0089149D" w:rsidRPr="007E0CDE" w:rsidRDefault="0089149D" w:rsidP="00DC4A19">
            <w:pPr>
              <w:rPr>
                <w:sz w:val="20"/>
                <w:szCs w:val="20"/>
              </w:rPr>
            </w:pPr>
            <w:r w:rsidRPr="007E0CDE">
              <w:rPr>
                <w:sz w:val="20"/>
                <w:szCs w:val="20"/>
              </w:rPr>
              <w:t>17 March</w:t>
            </w:r>
          </w:p>
        </w:tc>
        <w:tc>
          <w:tcPr>
            <w:tcW w:w="1031" w:type="dxa"/>
          </w:tcPr>
          <w:p w:rsidR="0089149D" w:rsidRPr="007E0CDE" w:rsidRDefault="008E03A1" w:rsidP="008E03A1">
            <w:pPr>
              <w:rPr>
                <w:sz w:val="20"/>
                <w:szCs w:val="20"/>
              </w:rPr>
            </w:pPr>
            <w:r>
              <w:rPr>
                <w:sz w:val="20"/>
                <w:szCs w:val="20"/>
              </w:rPr>
              <w:t>J</w:t>
            </w:r>
            <w:r w:rsidR="003026AE">
              <w:rPr>
                <w:sz w:val="20"/>
                <w:szCs w:val="20"/>
              </w:rPr>
              <w:t xml:space="preserve"> </w:t>
            </w:r>
            <w:r>
              <w:rPr>
                <w:sz w:val="20"/>
                <w:szCs w:val="20"/>
              </w:rPr>
              <w:t>Smith</w:t>
            </w:r>
          </w:p>
        </w:tc>
        <w:tc>
          <w:tcPr>
            <w:tcW w:w="1250" w:type="dxa"/>
          </w:tcPr>
          <w:p w:rsidR="0089149D" w:rsidRPr="007E0CDE" w:rsidRDefault="007E0CDE" w:rsidP="0089149D">
            <w:pPr>
              <w:rPr>
                <w:sz w:val="20"/>
                <w:szCs w:val="20"/>
              </w:rPr>
            </w:pPr>
            <w:r w:rsidRPr="007E0CDE">
              <w:rPr>
                <w:sz w:val="20"/>
                <w:szCs w:val="20"/>
              </w:rPr>
              <w:t>v</w:t>
            </w:r>
            <w:r w:rsidR="0089149D" w:rsidRPr="007E0CDE">
              <w:rPr>
                <w:sz w:val="20"/>
                <w:szCs w:val="20"/>
              </w:rPr>
              <w:t>0.1</w:t>
            </w:r>
          </w:p>
        </w:tc>
        <w:tc>
          <w:tcPr>
            <w:tcW w:w="5107" w:type="dxa"/>
          </w:tcPr>
          <w:p w:rsidR="0089149D" w:rsidRPr="007E0CDE" w:rsidRDefault="0089149D" w:rsidP="0089149D">
            <w:pPr>
              <w:rPr>
                <w:sz w:val="20"/>
                <w:szCs w:val="20"/>
              </w:rPr>
            </w:pPr>
            <w:r w:rsidRPr="007E0CDE">
              <w:rPr>
                <w:sz w:val="20"/>
                <w:szCs w:val="20"/>
              </w:rPr>
              <w:t>Initial draft for review/discussion</w:t>
            </w:r>
          </w:p>
        </w:tc>
      </w:tr>
      <w:tr w:rsidR="0089149D" w:rsidTr="0089149D">
        <w:tc>
          <w:tcPr>
            <w:tcW w:w="1526" w:type="dxa"/>
          </w:tcPr>
          <w:p w:rsidR="0089149D" w:rsidRPr="007E0CDE" w:rsidRDefault="0089149D" w:rsidP="00DC4A19">
            <w:pPr>
              <w:rPr>
                <w:sz w:val="20"/>
                <w:szCs w:val="20"/>
              </w:rPr>
            </w:pPr>
            <w:r w:rsidRPr="007E0CDE">
              <w:rPr>
                <w:sz w:val="20"/>
                <w:szCs w:val="20"/>
              </w:rPr>
              <w:t>14 May</w:t>
            </w:r>
          </w:p>
        </w:tc>
        <w:tc>
          <w:tcPr>
            <w:tcW w:w="1031" w:type="dxa"/>
          </w:tcPr>
          <w:p w:rsidR="0089149D" w:rsidRPr="007E0CDE" w:rsidRDefault="008E03A1" w:rsidP="008E03A1">
            <w:pPr>
              <w:rPr>
                <w:sz w:val="20"/>
                <w:szCs w:val="20"/>
              </w:rPr>
            </w:pPr>
            <w:r>
              <w:rPr>
                <w:sz w:val="20"/>
                <w:szCs w:val="20"/>
              </w:rPr>
              <w:t>J</w:t>
            </w:r>
            <w:r w:rsidR="003026AE">
              <w:rPr>
                <w:sz w:val="20"/>
                <w:szCs w:val="20"/>
              </w:rPr>
              <w:t xml:space="preserve"> </w:t>
            </w:r>
            <w:r w:rsidR="003026AE" w:rsidRPr="003026AE">
              <w:rPr>
                <w:sz w:val="20"/>
                <w:szCs w:val="20"/>
              </w:rPr>
              <w:t>S</w:t>
            </w:r>
            <w:r>
              <w:rPr>
                <w:sz w:val="20"/>
                <w:szCs w:val="20"/>
              </w:rPr>
              <w:t>mith</w:t>
            </w:r>
          </w:p>
        </w:tc>
        <w:tc>
          <w:tcPr>
            <w:tcW w:w="1250" w:type="dxa"/>
          </w:tcPr>
          <w:p w:rsidR="0089149D" w:rsidRPr="007E0CDE" w:rsidRDefault="007E0CDE" w:rsidP="00DC4A19">
            <w:pPr>
              <w:rPr>
                <w:sz w:val="20"/>
                <w:szCs w:val="20"/>
              </w:rPr>
            </w:pPr>
            <w:r w:rsidRPr="007E0CDE">
              <w:rPr>
                <w:sz w:val="20"/>
                <w:szCs w:val="20"/>
              </w:rPr>
              <w:t>v</w:t>
            </w:r>
            <w:r w:rsidR="0089149D" w:rsidRPr="007E0CDE">
              <w:rPr>
                <w:sz w:val="20"/>
                <w:szCs w:val="20"/>
              </w:rPr>
              <w:t>0.2</w:t>
            </w:r>
          </w:p>
        </w:tc>
        <w:tc>
          <w:tcPr>
            <w:tcW w:w="5107" w:type="dxa"/>
          </w:tcPr>
          <w:p w:rsidR="0089149D" w:rsidRPr="007E0CDE" w:rsidRDefault="007E0CDE" w:rsidP="007E0CDE">
            <w:pPr>
              <w:rPr>
                <w:sz w:val="20"/>
                <w:szCs w:val="20"/>
              </w:rPr>
            </w:pPr>
            <w:r w:rsidRPr="007E0CDE">
              <w:rPr>
                <w:sz w:val="20"/>
                <w:szCs w:val="20"/>
              </w:rPr>
              <w:t>Changes</w:t>
            </w:r>
            <w:r w:rsidR="0089149D" w:rsidRPr="007E0CDE">
              <w:rPr>
                <w:sz w:val="20"/>
                <w:szCs w:val="20"/>
              </w:rPr>
              <w:t xml:space="preserve"> </w:t>
            </w:r>
            <w:r w:rsidRPr="007E0CDE">
              <w:rPr>
                <w:sz w:val="20"/>
                <w:szCs w:val="20"/>
              </w:rPr>
              <w:t xml:space="preserve">based on </w:t>
            </w:r>
            <w:r w:rsidR="0089149D" w:rsidRPr="007E0CDE">
              <w:rPr>
                <w:sz w:val="20"/>
                <w:szCs w:val="20"/>
              </w:rPr>
              <w:t>feedback</w:t>
            </w:r>
          </w:p>
        </w:tc>
      </w:tr>
      <w:tr w:rsidR="0089149D" w:rsidTr="0089149D">
        <w:trPr>
          <w:cnfStyle w:val="000000100000"/>
        </w:trPr>
        <w:tc>
          <w:tcPr>
            <w:tcW w:w="1526" w:type="dxa"/>
          </w:tcPr>
          <w:p w:rsidR="0089149D" w:rsidRPr="007E0CDE" w:rsidRDefault="0089149D" w:rsidP="00DC4A19">
            <w:pPr>
              <w:rPr>
                <w:sz w:val="20"/>
                <w:szCs w:val="20"/>
              </w:rPr>
            </w:pPr>
          </w:p>
        </w:tc>
        <w:tc>
          <w:tcPr>
            <w:tcW w:w="1031" w:type="dxa"/>
          </w:tcPr>
          <w:p w:rsidR="0089149D" w:rsidRPr="007E0CDE" w:rsidRDefault="0089149D" w:rsidP="00DC4A19">
            <w:pPr>
              <w:rPr>
                <w:sz w:val="20"/>
                <w:szCs w:val="20"/>
              </w:rPr>
            </w:pPr>
          </w:p>
        </w:tc>
        <w:tc>
          <w:tcPr>
            <w:tcW w:w="1250" w:type="dxa"/>
          </w:tcPr>
          <w:p w:rsidR="0089149D" w:rsidRPr="007E0CDE" w:rsidRDefault="0089149D" w:rsidP="00DC4A19">
            <w:pPr>
              <w:rPr>
                <w:sz w:val="20"/>
                <w:szCs w:val="20"/>
              </w:rPr>
            </w:pPr>
          </w:p>
        </w:tc>
        <w:tc>
          <w:tcPr>
            <w:tcW w:w="5107" w:type="dxa"/>
          </w:tcPr>
          <w:p w:rsidR="0089149D" w:rsidRPr="007E0CDE" w:rsidRDefault="0089149D" w:rsidP="00DC4A19">
            <w:pPr>
              <w:rPr>
                <w:sz w:val="20"/>
                <w:szCs w:val="20"/>
              </w:rPr>
            </w:pPr>
          </w:p>
        </w:tc>
      </w:tr>
    </w:tbl>
    <w:p w:rsidR="0089149D" w:rsidRDefault="007E0CDE" w:rsidP="007E0CDE">
      <w:pPr>
        <w:pStyle w:val="Heading2"/>
      </w:pPr>
      <w:r>
        <w:t>Reviewers</w:t>
      </w:r>
    </w:p>
    <w:tbl>
      <w:tblPr>
        <w:tblStyle w:val="LightShading-Accent11"/>
        <w:tblW w:w="0" w:type="auto"/>
        <w:tblLook w:val="0420"/>
      </w:tblPr>
      <w:tblGrid>
        <w:gridCol w:w="1501"/>
        <w:gridCol w:w="1800"/>
        <w:gridCol w:w="4140"/>
        <w:gridCol w:w="1574"/>
      </w:tblGrid>
      <w:tr w:rsidR="007E0CDE" w:rsidRPr="007E0CDE" w:rsidTr="007E0CDE">
        <w:trPr>
          <w:cnfStyle w:val="100000000000"/>
        </w:trPr>
        <w:tc>
          <w:tcPr>
            <w:tcW w:w="1501" w:type="dxa"/>
          </w:tcPr>
          <w:p w:rsidR="007E0CDE" w:rsidRPr="007E0CDE" w:rsidRDefault="007E0CDE" w:rsidP="007E0CDE">
            <w:pPr>
              <w:rPr>
                <w:sz w:val="20"/>
                <w:szCs w:val="20"/>
              </w:rPr>
            </w:pPr>
            <w:r w:rsidRPr="007E0CDE">
              <w:rPr>
                <w:sz w:val="20"/>
                <w:szCs w:val="20"/>
              </w:rPr>
              <w:t>Name</w:t>
            </w:r>
          </w:p>
        </w:tc>
        <w:tc>
          <w:tcPr>
            <w:tcW w:w="1800" w:type="dxa"/>
          </w:tcPr>
          <w:p w:rsidR="007E0CDE" w:rsidRPr="007E0CDE" w:rsidRDefault="007E0CDE" w:rsidP="00CD31DE">
            <w:pPr>
              <w:rPr>
                <w:sz w:val="20"/>
                <w:szCs w:val="20"/>
              </w:rPr>
            </w:pPr>
            <w:r w:rsidRPr="007E0CDE">
              <w:rPr>
                <w:sz w:val="20"/>
                <w:szCs w:val="20"/>
              </w:rPr>
              <w:t xml:space="preserve">Version </w:t>
            </w:r>
            <w:r w:rsidR="00CD31DE">
              <w:rPr>
                <w:sz w:val="20"/>
                <w:szCs w:val="20"/>
              </w:rPr>
              <w:t>reviewed</w:t>
            </w:r>
          </w:p>
        </w:tc>
        <w:tc>
          <w:tcPr>
            <w:tcW w:w="4140" w:type="dxa"/>
          </w:tcPr>
          <w:p w:rsidR="007E0CDE" w:rsidRPr="007E0CDE" w:rsidRDefault="007E0CDE" w:rsidP="007E0CDE">
            <w:pPr>
              <w:rPr>
                <w:sz w:val="20"/>
                <w:szCs w:val="20"/>
              </w:rPr>
            </w:pPr>
            <w:r w:rsidRPr="007E0CDE">
              <w:rPr>
                <w:sz w:val="20"/>
                <w:szCs w:val="20"/>
              </w:rPr>
              <w:t>Position</w:t>
            </w:r>
          </w:p>
        </w:tc>
        <w:tc>
          <w:tcPr>
            <w:tcW w:w="1574" w:type="dxa"/>
          </w:tcPr>
          <w:p w:rsidR="007E0CDE" w:rsidRPr="007E0CDE" w:rsidRDefault="007E0CDE" w:rsidP="007E0CDE">
            <w:pPr>
              <w:rPr>
                <w:sz w:val="20"/>
                <w:szCs w:val="20"/>
              </w:rPr>
            </w:pPr>
            <w:r w:rsidRPr="007E0CDE">
              <w:rPr>
                <w:sz w:val="20"/>
                <w:szCs w:val="20"/>
              </w:rPr>
              <w:t>Date</w:t>
            </w:r>
          </w:p>
        </w:tc>
      </w:tr>
      <w:tr w:rsidR="007E0CDE" w:rsidRPr="007E0CDE" w:rsidTr="007E0CDE">
        <w:trPr>
          <w:cnfStyle w:val="000000100000"/>
        </w:trPr>
        <w:tc>
          <w:tcPr>
            <w:tcW w:w="1501" w:type="dxa"/>
          </w:tcPr>
          <w:p w:rsidR="007E0CDE" w:rsidRPr="007E0CDE" w:rsidRDefault="003026AE" w:rsidP="003026AE">
            <w:pPr>
              <w:rPr>
                <w:sz w:val="20"/>
                <w:szCs w:val="20"/>
              </w:rPr>
            </w:pPr>
            <w:r w:rsidRPr="003026AE">
              <w:rPr>
                <w:sz w:val="20"/>
                <w:szCs w:val="20"/>
              </w:rPr>
              <w:t>R</w:t>
            </w:r>
            <w:r>
              <w:rPr>
                <w:sz w:val="20"/>
                <w:szCs w:val="20"/>
              </w:rPr>
              <w:t xml:space="preserve"> </w:t>
            </w:r>
            <w:r w:rsidRPr="003026AE">
              <w:rPr>
                <w:sz w:val="20"/>
                <w:szCs w:val="20"/>
              </w:rPr>
              <w:t>Rumian</w:t>
            </w:r>
          </w:p>
        </w:tc>
        <w:tc>
          <w:tcPr>
            <w:tcW w:w="1800" w:type="dxa"/>
          </w:tcPr>
          <w:p w:rsidR="007E0CDE" w:rsidRPr="007E0CDE" w:rsidRDefault="00CD31DE" w:rsidP="003026AE">
            <w:pPr>
              <w:rPr>
                <w:sz w:val="20"/>
                <w:szCs w:val="20"/>
              </w:rPr>
            </w:pPr>
            <w:r>
              <w:rPr>
                <w:sz w:val="20"/>
                <w:szCs w:val="20"/>
              </w:rPr>
              <w:t>v</w:t>
            </w:r>
            <w:r w:rsidR="007E0CDE" w:rsidRPr="007E0CDE">
              <w:rPr>
                <w:sz w:val="20"/>
                <w:szCs w:val="20"/>
              </w:rPr>
              <w:t>0.</w:t>
            </w:r>
            <w:r w:rsidR="003026AE">
              <w:rPr>
                <w:sz w:val="20"/>
                <w:szCs w:val="20"/>
              </w:rPr>
              <w:t>1</w:t>
            </w:r>
          </w:p>
        </w:tc>
        <w:tc>
          <w:tcPr>
            <w:tcW w:w="4140" w:type="dxa"/>
          </w:tcPr>
          <w:p w:rsidR="007E0CDE" w:rsidRPr="007E0CDE" w:rsidRDefault="007E0CDE" w:rsidP="007E0CDE">
            <w:pPr>
              <w:rPr>
                <w:sz w:val="20"/>
                <w:szCs w:val="20"/>
              </w:rPr>
            </w:pPr>
            <w:r w:rsidRPr="007E0CDE">
              <w:rPr>
                <w:sz w:val="20"/>
                <w:szCs w:val="20"/>
              </w:rPr>
              <w:t>Business Analyst</w:t>
            </w:r>
          </w:p>
        </w:tc>
        <w:tc>
          <w:tcPr>
            <w:tcW w:w="1574" w:type="dxa"/>
          </w:tcPr>
          <w:p w:rsidR="007E0CDE" w:rsidRPr="007E0CDE" w:rsidRDefault="003026AE" w:rsidP="003026AE">
            <w:pPr>
              <w:rPr>
                <w:sz w:val="20"/>
                <w:szCs w:val="20"/>
              </w:rPr>
            </w:pPr>
            <w:r>
              <w:rPr>
                <w:sz w:val="20"/>
                <w:szCs w:val="20"/>
              </w:rPr>
              <w:t>21</w:t>
            </w:r>
            <w:r w:rsidR="007E0CDE" w:rsidRPr="007E0CDE">
              <w:rPr>
                <w:sz w:val="20"/>
                <w:szCs w:val="20"/>
              </w:rPr>
              <w:t xml:space="preserve"> Ma</w:t>
            </w:r>
            <w:r>
              <w:rPr>
                <w:sz w:val="20"/>
                <w:szCs w:val="20"/>
              </w:rPr>
              <w:t>rch</w:t>
            </w:r>
          </w:p>
        </w:tc>
      </w:tr>
      <w:tr w:rsidR="007E0CDE" w:rsidRPr="007E0CDE" w:rsidTr="007E0CDE">
        <w:tc>
          <w:tcPr>
            <w:tcW w:w="1501" w:type="dxa"/>
          </w:tcPr>
          <w:p w:rsidR="007E0CDE" w:rsidRPr="007E0CDE" w:rsidRDefault="003026AE" w:rsidP="003026AE">
            <w:pPr>
              <w:rPr>
                <w:sz w:val="20"/>
                <w:szCs w:val="20"/>
              </w:rPr>
            </w:pPr>
            <w:r w:rsidRPr="003026AE">
              <w:rPr>
                <w:sz w:val="20"/>
                <w:szCs w:val="20"/>
              </w:rPr>
              <w:t>J Haas</w:t>
            </w:r>
          </w:p>
        </w:tc>
        <w:tc>
          <w:tcPr>
            <w:tcW w:w="1800" w:type="dxa"/>
          </w:tcPr>
          <w:p w:rsidR="007E0CDE" w:rsidRPr="007E0CDE" w:rsidRDefault="003026AE" w:rsidP="007E0CDE">
            <w:pPr>
              <w:rPr>
                <w:sz w:val="20"/>
                <w:szCs w:val="20"/>
              </w:rPr>
            </w:pPr>
            <w:r>
              <w:rPr>
                <w:sz w:val="20"/>
                <w:szCs w:val="20"/>
              </w:rPr>
              <w:t>V0.2</w:t>
            </w:r>
          </w:p>
        </w:tc>
        <w:tc>
          <w:tcPr>
            <w:tcW w:w="4140" w:type="dxa"/>
          </w:tcPr>
          <w:p w:rsidR="007E0CDE" w:rsidRPr="007E0CDE" w:rsidRDefault="003026AE" w:rsidP="007E0CDE">
            <w:pPr>
              <w:rPr>
                <w:sz w:val="20"/>
                <w:szCs w:val="20"/>
              </w:rPr>
            </w:pPr>
            <w:r>
              <w:rPr>
                <w:sz w:val="20"/>
                <w:szCs w:val="20"/>
              </w:rPr>
              <w:t>Senior Developer</w:t>
            </w:r>
          </w:p>
        </w:tc>
        <w:tc>
          <w:tcPr>
            <w:tcW w:w="1574" w:type="dxa"/>
          </w:tcPr>
          <w:p w:rsidR="007E0CDE" w:rsidRPr="007E0CDE" w:rsidRDefault="003026AE" w:rsidP="00B42198">
            <w:pPr>
              <w:rPr>
                <w:sz w:val="20"/>
                <w:szCs w:val="20"/>
              </w:rPr>
            </w:pPr>
            <w:r>
              <w:rPr>
                <w:sz w:val="20"/>
                <w:szCs w:val="20"/>
              </w:rPr>
              <w:t>1</w:t>
            </w:r>
            <w:r w:rsidR="00BC5BCC">
              <w:rPr>
                <w:sz w:val="20"/>
                <w:szCs w:val="20"/>
              </w:rPr>
              <w:t>9</w:t>
            </w:r>
            <w:r>
              <w:rPr>
                <w:sz w:val="20"/>
                <w:szCs w:val="20"/>
              </w:rPr>
              <w:t xml:space="preserve"> May</w:t>
            </w:r>
          </w:p>
        </w:tc>
      </w:tr>
      <w:tr w:rsidR="003026AE" w:rsidRPr="007E0CDE" w:rsidTr="007E0CDE">
        <w:trPr>
          <w:cnfStyle w:val="000000100000"/>
        </w:trPr>
        <w:tc>
          <w:tcPr>
            <w:tcW w:w="1501" w:type="dxa"/>
          </w:tcPr>
          <w:p w:rsidR="003026AE" w:rsidRPr="003026AE" w:rsidRDefault="003026AE" w:rsidP="003026AE">
            <w:pPr>
              <w:rPr>
                <w:sz w:val="20"/>
                <w:szCs w:val="20"/>
              </w:rPr>
            </w:pPr>
          </w:p>
        </w:tc>
        <w:tc>
          <w:tcPr>
            <w:tcW w:w="1800" w:type="dxa"/>
          </w:tcPr>
          <w:p w:rsidR="003026AE" w:rsidRDefault="003026AE" w:rsidP="007E0CDE">
            <w:pPr>
              <w:rPr>
                <w:sz w:val="20"/>
                <w:szCs w:val="20"/>
              </w:rPr>
            </w:pPr>
          </w:p>
        </w:tc>
        <w:tc>
          <w:tcPr>
            <w:tcW w:w="4140" w:type="dxa"/>
          </w:tcPr>
          <w:p w:rsidR="003026AE" w:rsidRDefault="003026AE" w:rsidP="007E0CDE">
            <w:pPr>
              <w:rPr>
                <w:sz w:val="20"/>
                <w:szCs w:val="20"/>
              </w:rPr>
            </w:pPr>
          </w:p>
        </w:tc>
        <w:tc>
          <w:tcPr>
            <w:tcW w:w="1574" w:type="dxa"/>
          </w:tcPr>
          <w:p w:rsidR="003026AE" w:rsidRDefault="003026AE" w:rsidP="007E0CDE">
            <w:pPr>
              <w:rPr>
                <w:sz w:val="20"/>
                <w:szCs w:val="20"/>
              </w:rPr>
            </w:pPr>
          </w:p>
        </w:tc>
      </w:tr>
    </w:tbl>
    <w:p w:rsidR="00CD31DE" w:rsidRDefault="00FB4D88" w:rsidP="00F748B8">
      <w:pPr>
        <w:pStyle w:val="Heading2"/>
      </w:pPr>
      <w:r>
        <w:t xml:space="preserve">Purpose of </w:t>
      </w:r>
      <w:r w:rsidR="00B84D2B">
        <w:t>T</w:t>
      </w:r>
      <w:r>
        <w:t xml:space="preserve">his </w:t>
      </w:r>
      <w:r w:rsidR="00B84D2B">
        <w:t>D</w:t>
      </w:r>
      <w:r>
        <w:t>ocument</w:t>
      </w:r>
    </w:p>
    <w:p w:rsidR="007E3308" w:rsidRPr="007E3308" w:rsidRDefault="007E3308" w:rsidP="007E3308">
      <w:r>
        <w:t>This document contains persona definitions for the Reach Portal project.</w:t>
      </w:r>
    </w:p>
    <w:p w:rsidR="00B664EA" w:rsidRDefault="00B664EA" w:rsidP="00F748B8">
      <w:pPr>
        <w:pStyle w:val="Heading2"/>
      </w:pPr>
      <w:r>
        <w:t>Persona Definition</w:t>
      </w:r>
      <w:r w:rsidR="000756B0">
        <w:t>s</w:t>
      </w:r>
    </w:p>
    <w:p w:rsidR="00F748B8" w:rsidRDefault="00307A7A" w:rsidP="00F748B8">
      <w:r>
        <w:t>P</w:t>
      </w:r>
      <w:r w:rsidR="00F748B8">
        <w:t xml:space="preserve">ersonas </w:t>
      </w:r>
      <w:r>
        <w:t xml:space="preserve">exist </w:t>
      </w:r>
      <w:r w:rsidR="00F748B8">
        <w:t xml:space="preserve">as a way to improve the design of software systems </w:t>
      </w:r>
      <w:r w:rsidR="00B84D2B">
        <w:t xml:space="preserve">that </w:t>
      </w:r>
      <w:r w:rsidR="00F748B8">
        <w:t>will be used by people from different backgrounds and with different needs, experience</w:t>
      </w:r>
      <w:r w:rsidR="00B84D2B">
        <w:t>,</w:t>
      </w:r>
      <w:r w:rsidR="00F748B8">
        <w:t xml:space="preserve"> and skill levels.</w:t>
      </w:r>
    </w:p>
    <w:p w:rsidR="00F748B8" w:rsidRDefault="00F748B8" w:rsidP="00F748B8">
      <w:r>
        <w:t xml:space="preserve">To consider the appropriateness of the design of a system, the </w:t>
      </w:r>
      <w:r w:rsidR="005E53F0">
        <w:t>Woodgrove Bank</w:t>
      </w:r>
      <w:r>
        <w:t xml:space="preserve"> Reach Portal (RPP) </w:t>
      </w:r>
      <w:r w:rsidR="00B84D2B">
        <w:t xml:space="preserve">project </w:t>
      </w:r>
      <w:r>
        <w:t>has defined the following personas</w:t>
      </w:r>
      <w:r w:rsidR="00B84D2B">
        <w:t>,</w:t>
      </w:r>
      <w:r>
        <w:t xml:space="preserve"> which represent typical </w:t>
      </w:r>
      <w:r w:rsidR="003432C2">
        <w:t xml:space="preserve">classes of user </w:t>
      </w:r>
      <w:r>
        <w:t xml:space="preserve">that might approach the Reach portal for </w:t>
      </w:r>
      <w:r w:rsidR="002A58BC">
        <w:t xml:space="preserve">banking </w:t>
      </w:r>
      <w:r>
        <w:t xml:space="preserve">services and information. These </w:t>
      </w:r>
      <w:r w:rsidR="003432C2">
        <w:t xml:space="preserve">classes </w:t>
      </w:r>
      <w:r>
        <w:t xml:space="preserve">are defined so the designers and builders of the system can ask questions like, "What would </w:t>
      </w:r>
      <w:r w:rsidR="003432C2">
        <w:t xml:space="preserve">this customer </w:t>
      </w:r>
      <w:r>
        <w:t xml:space="preserve">think of this feature? Does it meet </w:t>
      </w:r>
      <w:r w:rsidR="003432C2">
        <w:t>th</w:t>
      </w:r>
      <w:r>
        <w:t>e</w:t>
      </w:r>
      <w:r w:rsidR="003432C2">
        <w:t>i</w:t>
      </w:r>
      <w:r>
        <w:t>r needs?"</w:t>
      </w:r>
    </w:p>
    <w:p w:rsidR="00F748B8" w:rsidRDefault="00F748B8" w:rsidP="00F748B8">
      <w:r>
        <w:t xml:space="preserve">Because the Reach Portal project has the aim of addressing the needs of affluent (high value) clients </w:t>
      </w:r>
      <w:r w:rsidR="00B84D2B">
        <w:t>and</w:t>
      </w:r>
      <w:r>
        <w:t xml:space="preserve"> delivering streamlined services to mass-market customers (such as checking and mortgage application), the personas have been defined to represent </w:t>
      </w:r>
      <w:r w:rsidR="003432C2">
        <w:t xml:space="preserve">classes </w:t>
      </w:r>
      <w:r>
        <w:t xml:space="preserve">spanning these groups. </w:t>
      </w:r>
      <w:r w:rsidR="003432C2">
        <w:t>P</w:t>
      </w:r>
      <w:r>
        <w:t>ersonas exist to aid system design and usability.</w:t>
      </w:r>
    </w:p>
    <w:p w:rsidR="00550B7C" w:rsidRDefault="00550B7C" w:rsidP="00F748B8">
      <w:r>
        <w:t xml:space="preserve">The </w:t>
      </w:r>
      <w:r w:rsidR="00B84D2B">
        <w:t xml:space="preserve">next sections describe the </w:t>
      </w:r>
      <w:r>
        <w:t>initial personas for the Reach Portal project.</w:t>
      </w:r>
    </w:p>
    <w:p w:rsidR="00550B7C" w:rsidRDefault="00550B7C" w:rsidP="00550B7C">
      <w:pPr>
        <w:pStyle w:val="Heading3"/>
      </w:pPr>
      <w:r>
        <w:t>Young Saver</w:t>
      </w:r>
    </w:p>
    <w:p w:rsidR="00550B7C" w:rsidRPr="00550B7C" w:rsidRDefault="00550B7C" w:rsidP="00550B7C">
      <w:r>
        <w:t xml:space="preserve">This class of user represents minors and early-teens with whom the </w:t>
      </w:r>
      <w:r w:rsidR="00B84D2B">
        <w:t>b</w:t>
      </w:r>
      <w:r>
        <w:t xml:space="preserve">ank wants to develop a relationship. They are typically introduced to the </w:t>
      </w:r>
      <w:r w:rsidR="00B84D2B">
        <w:t>b</w:t>
      </w:r>
      <w:r>
        <w:t xml:space="preserve">ank through parents or school, and the main function of the relationship is saving. The </w:t>
      </w:r>
      <w:r w:rsidR="00B84D2B">
        <w:t>b</w:t>
      </w:r>
      <w:r>
        <w:t xml:space="preserve">ank has a view that this relationship can be strengthened </w:t>
      </w:r>
      <w:r>
        <w:lastRenderedPageBreak/>
        <w:t xml:space="preserve">by creating an online version of its Junior Savers </w:t>
      </w:r>
      <w:r w:rsidR="00B84D2B">
        <w:t>C</w:t>
      </w:r>
      <w:r>
        <w:t>lub with money education features (games) tailored to the age of the young saver.</w:t>
      </w:r>
    </w:p>
    <w:p w:rsidR="00550B7C" w:rsidRDefault="00550B7C" w:rsidP="001A7B24">
      <w:pPr>
        <w:pStyle w:val="Heading3"/>
      </w:pPr>
      <w:r>
        <w:t>College Graduate / New Employee</w:t>
      </w:r>
    </w:p>
    <w:p w:rsidR="00550B7C" w:rsidRPr="00550B7C" w:rsidRDefault="00550B7C" w:rsidP="00550B7C">
      <w:r>
        <w:t>This class of user represents individuals who have graduated or qualified with a trade and are recent entrants to the world of work. The banking relationship is about managing the new flow of income and providing basic credit facilities. Many of the late teen</w:t>
      </w:r>
      <w:r w:rsidR="00B84D2B">
        <w:t>s</w:t>
      </w:r>
      <w:r>
        <w:t xml:space="preserve">/early twenties </w:t>
      </w:r>
      <w:r w:rsidR="00B84D2B">
        <w:t xml:space="preserve">users </w:t>
      </w:r>
      <w:r>
        <w:t xml:space="preserve">may be interested in applying for personal loans, </w:t>
      </w:r>
      <w:r w:rsidR="00B84D2B">
        <w:t>such as</w:t>
      </w:r>
      <w:r>
        <w:t xml:space="preserve"> to buy a car. At the upper-end of this group are those applying for first home loans (mortgages).</w:t>
      </w:r>
    </w:p>
    <w:p w:rsidR="00550B7C" w:rsidRDefault="00550B7C" w:rsidP="00550B7C">
      <w:pPr>
        <w:pStyle w:val="Heading3"/>
      </w:pPr>
      <w:r>
        <w:t>Small Business Operator</w:t>
      </w:r>
    </w:p>
    <w:p w:rsidR="00550B7C" w:rsidRPr="00550B7C" w:rsidRDefault="00550B7C" w:rsidP="00550B7C">
      <w:r>
        <w:t xml:space="preserve">This substantial class of users are usually of long tenure with the </w:t>
      </w:r>
      <w:r w:rsidR="001435FD">
        <w:t>b</w:t>
      </w:r>
      <w:r>
        <w:t xml:space="preserve">ank and expect a higher level of service and understanding of the needs of a small business. The </w:t>
      </w:r>
      <w:r w:rsidR="001435FD">
        <w:t>b</w:t>
      </w:r>
      <w:r>
        <w:t>ank wants to offer a range of online services for these users, making them available “on demand” where previously they would have required a trip to the local branch, and establishing the concept of a more personal or managed relationship with each of its small business customers. The needs of small business operators are diverse and range from insurance services for farm and plant equipment to loans and professional accounting services to manage expansion and cash flow.</w:t>
      </w:r>
    </w:p>
    <w:p w:rsidR="00550B7C" w:rsidRDefault="00550B7C" w:rsidP="00550B7C">
      <w:pPr>
        <w:pStyle w:val="Heading3"/>
      </w:pPr>
      <w:r>
        <w:t>Upwardly Mobile Professional</w:t>
      </w:r>
    </w:p>
    <w:p w:rsidR="00550B7C" w:rsidRPr="00550B7C" w:rsidRDefault="00550B7C" w:rsidP="00550B7C">
      <w:r>
        <w:t xml:space="preserve">These users represent affluent or </w:t>
      </w:r>
      <w:r w:rsidR="00D7023A">
        <w:t>"</w:t>
      </w:r>
      <w:r w:rsidR="00B04AD1">
        <w:t>future affluent</w:t>
      </w:r>
      <w:r w:rsidR="00D7023A">
        <w:t>"</w:t>
      </w:r>
      <w:r w:rsidR="00B04AD1">
        <w:t xml:space="preserve"> </w:t>
      </w:r>
      <w:r>
        <w:t xml:space="preserve">individuals who are typically in their late twenties to thirties and are in well-paid employment or are working as independent </w:t>
      </w:r>
      <w:r w:rsidR="00167FF7">
        <w:t>professionals</w:t>
      </w:r>
      <w:r w:rsidR="00307A7A">
        <w:t xml:space="preserve">. </w:t>
      </w:r>
      <w:r w:rsidR="000318DA">
        <w:t xml:space="preserve">They are usually comfortable with a wider range of debt and </w:t>
      </w:r>
      <w:r w:rsidR="00B04AD1">
        <w:t xml:space="preserve">expect a deeper relationship with the </w:t>
      </w:r>
      <w:r w:rsidR="00D7023A">
        <w:t>b</w:t>
      </w:r>
      <w:r w:rsidR="00B04AD1">
        <w:t xml:space="preserve">ank–they expect their appetite for risk to be matched by the </w:t>
      </w:r>
      <w:r w:rsidR="00D7023A">
        <w:t>b</w:t>
      </w:r>
      <w:r w:rsidR="00B04AD1">
        <w:t xml:space="preserve">ank’s willingness to lend. They also expect a level of immediate understanding of their asset value so that decisions can be made quickly, seeing the </w:t>
      </w:r>
      <w:r w:rsidR="00D7023A">
        <w:t>b</w:t>
      </w:r>
      <w:r w:rsidR="00B04AD1">
        <w:t>ank as more of a partner and less of a financial institution.</w:t>
      </w:r>
    </w:p>
    <w:p w:rsidR="00550B7C" w:rsidRDefault="00550B7C" w:rsidP="00550B7C">
      <w:pPr>
        <w:pStyle w:val="Heading3"/>
      </w:pPr>
      <w:r>
        <w:t xml:space="preserve">Indebted </w:t>
      </w:r>
      <w:r w:rsidR="00D7023A">
        <w:t>C</w:t>
      </w:r>
      <w:r>
        <w:t>ustomer (</w:t>
      </w:r>
      <w:r w:rsidR="00D7023A">
        <w:t>B</w:t>
      </w:r>
      <w:r>
        <w:t xml:space="preserve">ad </w:t>
      </w:r>
      <w:r w:rsidR="00D7023A">
        <w:t>F</w:t>
      </w:r>
      <w:r>
        <w:t xml:space="preserve">inancial </w:t>
      </w:r>
      <w:r w:rsidR="00D7023A">
        <w:t>S</w:t>
      </w:r>
      <w:r>
        <w:t>tanding)</w:t>
      </w:r>
    </w:p>
    <w:p w:rsidR="00B04AD1" w:rsidRPr="00B04AD1" w:rsidRDefault="00B04AD1" w:rsidP="00B04AD1">
      <w:r>
        <w:t xml:space="preserve">This growing class of user represents those who have landed in financial difficulty for some reason. Often this is associated with large debt commitments </w:t>
      </w:r>
      <w:r w:rsidR="00D7023A">
        <w:t xml:space="preserve">that have </w:t>
      </w:r>
      <w:r>
        <w:t xml:space="preserve">become unserviceable </w:t>
      </w:r>
      <w:r w:rsidR="00D7023A">
        <w:t xml:space="preserve">because of </w:t>
      </w:r>
      <w:r>
        <w:t xml:space="preserve">interest rate changes or personal circumstances such as illness. These customers are typically long-standing and represent an ongoing risk to the </w:t>
      </w:r>
      <w:r w:rsidR="00D7023A">
        <w:t>b</w:t>
      </w:r>
      <w:r>
        <w:t xml:space="preserve">ank. The strategy is to treat these customers as requiring special management so that ongoing servicing of debt can be achieved. The </w:t>
      </w:r>
      <w:r w:rsidR="00D7023A">
        <w:t>b</w:t>
      </w:r>
      <w:r>
        <w:t>ank intends to offer assistance through financial counselling and online services such as reckoners and budgeting resources.</w:t>
      </w:r>
    </w:p>
    <w:p w:rsidR="00550B7C" w:rsidRDefault="00550B7C" w:rsidP="00550B7C">
      <w:pPr>
        <w:pStyle w:val="Heading3"/>
      </w:pPr>
      <w:r>
        <w:t>Retiree</w:t>
      </w:r>
    </w:p>
    <w:p w:rsidR="00B36868" w:rsidRDefault="00B04AD1" w:rsidP="00F748B8">
      <w:r>
        <w:t xml:space="preserve">This broad and growing class of user represents individuals from the age of 50 years who are retired or semi-retired and have started to consolidate and alter the structure of the financial assets and investments. There is a move away from </w:t>
      </w:r>
      <w:r w:rsidR="00635BA8">
        <w:t xml:space="preserve">products of </w:t>
      </w:r>
      <w:r>
        <w:t xml:space="preserve">higher risk </w:t>
      </w:r>
      <w:r w:rsidR="00635BA8">
        <w:t xml:space="preserve">toward those </w:t>
      </w:r>
      <w:r w:rsidR="00B36868">
        <w:t>with less market exposure and reduced volatility. A number of policies and 401 plans typically come to fruition for these customers, leaving some highly cashed up. This group ranges from those working 2</w:t>
      </w:r>
      <w:r w:rsidR="00DC657B">
        <w:t>–</w:t>
      </w:r>
      <w:r w:rsidR="00B36868">
        <w:t xml:space="preserve">3 days a week to the fully retired. Many have grandchildren and enjoy travel. They will be looking for a relationship from the </w:t>
      </w:r>
      <w:r w:rsidR="00DC657B">
        <w:t>b</w:t>
      </w:r>
      <w:r w:rsidR="00B36868">
        <w:t xml:space="preserve">ank </w:t>
      </w:r>
      <w:r w:rsidR="00DC657B">
        <w:t>that</w:t>
      </w:r>
      <w:r w:rsidR="00B36868">
        <w:t xml:space="preserve"> focuses </w:t>
      </w:r>
      <w:r w:rsidR="00DC657B">
        <w:t>on</w:t>
      </w:r>
      <w:r w:rsidR="00B36868">
        <w:t xml:space="preserve"> managed income and leisure time.</w:t>
      </w:r>
    </w:p>
    <w:p w:rsidR="00B36868" w:rsidRDefault="00B36868" w:rsidP="001A7B24">
      <w:pPr>
        <w:pStyle w:val="Heading2"/>
      </w:pPr>
      <w:r>
        <w:lastRenderedPageBreak/>
        <w:t>Personas and the Online Banking Relationship</w:t>
      </w:r>
    </w:p>
    <w:p w:rsidR="00550B7C" w:rsidRDefault="00550B7C" w:rsidP="00F748B8">
      <w:r>
        <w:t xml:space="preserve">These broad personas or classes of user may be considered from different aspects of the banking relationship and the usage of the online system, which may be tabulated as </w:t>
      </w:r>
      <w:r w:rsidR="00DC657B">
        <w:t>shown in the following table.</w:t>
      </w:r>
    </w:p>
    <w:tbl>
      <w:tblPr>
        <w:tblStyle w:val="MediumShading2-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tblPr>
      <w:tblGrid>
        <w:gridCol w:w="1102"/>
        <w:gridCol w:w="1210"/>
        <w:gridCol w:w="1370"/>
        <w:gridCol w:w="1414"/>
        <w:gridCol w:w="1487"/>
        <w:gridCol w:w="1295"/>
        <w:gridCol w:w="1364"/>
      </w:tblGrid>
      <w:tr w:rsidR="008545C4" w:rsidTr="00B36868">
        <w:trPr>
          <w:cnfStyle w:val="100000000000"/>
        </w:trPr>
        <w:tc>
          <w:tcPr>
            <w:cnfStyle w:val="001000000100"/>
            <w:tcW w:w="1071" w:type="dxa"/>
          </w:tcPr>
          <w:p w:rsidR="00F32944" w:rsidRPr="00D17527" w:rsidRDefault="00F32944" w:rsidP="00F748B8">
            <w:pPr>
              <w:rPr>
                <w:sz w:val="16"/>
              </w:rPr>
            </w:pPr>
          </w:p>
        </w:tc>
        <w:tc>
          <w:tcPr>
            <w:tcW w:w="1256" w:type="dxa"/>
          </w:tcPr>
          <w:p w:rsidR="00F32944" w:rsidRPr="00D17527" w:rsidRDefault="00F32944" w:rsidP="00F748B8">
            <w:pPr>
              <w:cnfStyle w:val="100000000000"/>
              <w:rPr>
                <w:sz w:val="16"/>
              </w:rPr>
            </w:pPr>
            <w:r w:rsidRPr="00D17527">
              <w:rPr>
                <w:sz w:val="16"/>
              </w:rPr>
              <w:t>Young saver</w:t>
            </w:r>
          </w:p>
        </w:tc>
        <w:tc>
          <w:tcPr>
            <w:tcW w:w="1393" w:type="dxa"/>
          </w:tcPr>
          <w:p w:rsidR="00F32944" w:rsidRPr="00D17527" w:rsidRDefault="00F32944" w:rsidP="00F748B8">
            <w:pPr>
              <w:cnfStyle w:val="100000000000"/>
              <w:rPr>
                <w:sz w:val="16"/>
              </w:rPr>
            </w:pPr>
            <w:r w:rsidRPr="00D17527">
              <w:rPr>
                <w:sz w:val="16"/>
              </w:rPr>
              <w:t>College graduate</w:t>
            </w:r>
            <w:r w:rsidR="00E60559" w:rsidRPr="00D17527">
              <w:rPr>
                <w:sz w:val="16"/>
              </w:rPr>
              <w:t xml:space="preserve"> / new employee</w:t>
            </w:r>
          </w:p>
        </w:tc>
        <w:tc>
          <w:tcPr>
            <w:tcW w:w="1385" w:type="dxa"/>
          </w:tcPr>
          <w:p w:rsidR="00F32944" w:rsidRPr="00D17527" w:rsidRDefault="00F32944" w:rsidP="00F748B8">
            <w:pPr>
              <w:cnfStyle w:val="100000000000"/>
              <w:rPr>
                <w:sz w:val="16"/>
              </w:rPr>
            </w:pPr>
            <w:r w:rsidRPr="00D17527">
              <w:rPr>
                <w:sz w:val="16"/>
              </w:rPr>
              <w:t>Small business operator</w:t>
            </w:r>
          </w:p>
        </w:tc>
        <w:tc>
          <w:tcPr>
            <w:tcW w:w="1553" w:type="dxa"/>
          </w:tcPr>
          <w:p w:rsidR="00F32944" w:rsidRPr="00D17527" w:rsidRDefault="00F32944" w:rsidP="00F748B8">
            <w:pPr>
              <w:cnfStyle w:val="100000000000"/>
              <w:rPr>
                <w:sz w:val="16"/>
              </w:rPr>
            </w:pPr>
            <w:r w:rsidRPr="00D17527">
              <w:rPr>
                <w:sz w:val="16"/>
              </w:rPr>
              <w:t>Upwardly mobile professional</w:t>
            </w:r>
          </w:p>
        </w:tc>
        <w:tc>
          <w:tcPr>
            <w:tcW w:w="1416" w:type="dxa"/>
          </w:tcPr>
          <w:p w:rsidR="00F32944" w:rsidRDefault="00F32944" w:rsidP="00F748B8">
            <w:pPr>
              <w:cnfStyle w:val="100000000000"/>
              <w:rPr>
                <w:sz w:val="16"/>
              </w:rPr>
            </w:pPr>
            <w:r w:rsidRPr="00D17527">
              <w:rPr>
                <w:sz w:val="16"/>
              </w:rPr>
              <w:t>Indebted finance customer</w:t>
            </w:r>
            <w:r w:rsidR="00B36868">
              <w:rPr>
                <w:sz w:val="16"/>
              </w:rPr>
              <w:br/>
            </w:r>
            <w:r w:rsidR="00F56ED7">
              <w:rPr>
                <w:sz w:val="16"/>
              </w:rPr>
              <w:t>(bad financial standing)</w:t>
            </w:r>
          </w:p>
          <w:p w:rsidR="00B36868" w:rsidRPr="00D17527" w:rsidRDefault="00B36868" w:rsidP="00F748B8">
            <w:pPr>
              <w:cnfStyle w:val="100000000000"/>
              <w:rPr>
                <w:sz w:val="16"/>
              </w:rPr>
            </w:pPr>
          </w:p>
        </w:tc>
        <w:tc>
          <w:tcPr>
            <w:tcW w:w="1168" w:type="dxa"/>
          </w:tcPr>
          <w:p w:rsidR="00F32944" w:rsidRPr="00D17527" w:rsidRDefault="00F32944" w:rsidP="00F748B8">
            <w:pPr>
              <w:cnfStyle w:val="100000000000"/>
              <w:rPr>
                <w:sz w:val="16"/>
              </w:rPr>
            </w:pPr>
            <w:r w:rsidRPr="00D17527">
              <w:rPr>
                <w:sz w:val="16"/>
              </w:rPr>
              <w:t>Retiree</w:t>
            </w:r>
          </w:p>
        </w:tc>
      </w:tr>
      <w:tr w:rsidR="008545C4" w:rsidTr="00B36868">
        <w:tc>
          <w:tcPr>
            <w:cnfStyle w:val="001000000000"/>
            <w:tcW w:w="1071" w:type="dxa"/>
          </w:tcPr>
          <w:p w:rsidR="00F32944" w:rsidRDefault="005E53F0" w:rsidP="00F748B8">
            <w:pPr>
              <w:rPr>
                <w:sz w:val="16"/>
              </w:rPr>
            </w:pPr>
            <w:r>
              <w:rPr>
                <w:sz w:val="16"/>
              </w:rPr>
              <w:t>Woodgrove Bank</w:t>
            </w:r>
            <w:r w:rsidR="00F32944" w:rsidRPr="00D17527">
              <w:rPr>
                <w:sz w:val="16"/>
              </w:rPr>
              <w:t xml:space="preserve"> objective</w:t>
            </w:r>
          </w:p>
          <w:p w:rsidR="00B36868" w:rsidRPr="00D17527" w:rsidRDefault="00B36868" w:rsidP="00F748B8">
            <w:pPr>
              <w:rPr>
                <w:sz w:val="16"/>
              </w:rPr>
            </w:pPr>
          </w:p>
          <w:p w:rsidR="00E60559" w:rsidRDefault="00E60559" w:rsidP="00F748B8">
            <w:pPr>
              <w:rPr>
                <w:sz w:val="16"/>
              </w:rPr>
            </w:pPr>
            <w:r w:rsidRPr="00D17527">
              <w:rPr>
                <w:sz w:val="16"/>
              </w:rPr>
              <w:t xml:space="preserve">(what the </w:t>
            </w:r>
            <w:r w:rsidR="00DC657B">
              <w:rPr>
                <w:sz w:val="16"/>
              </w:rPr>
              <w:t>b</w:t>
            </w:r>
            <w:r w:rsidRPr="00D17527">
              <w:rPr>
                <w:sz w:val="16"/>
              </w:rPr>
              <w:t>ank wants to achieve)</w:t>
            </w:r>
          </w:p>
          <w:p w:rsidR="00B36868" w:rsidRPr="00D17527" w:rsidRDefault="00B36868" w:rsidP="00F748B8">
            <w:pPr>
              <w:rPr>
                <w:sz w:val="16"/>
              </w:rPr>
            </w:pPr>
          </w:p>
        </w:tc>
        <w:tc>
          <w:tcPr>
            <w:tcW w:w="1256" w:type="dxa"/>
          </w:tcPr>
          <w:p w:rsidR="00F32944" w:rsidRPr="00D17527" w:rsidRDefault="00F32944" w:rsidP="00F748B8">
            <w:pPr>
              <w:cnfStyle w:val="000000000000"/>
              <w:rPr>
                <w:sz w:val="16"/>
              </w:rPr>
            </w:pPr>
            <w:r w:rsidRPr="00D17527">
              <w:rPr>
                <w:sz w:val="16"/>
              </w:rPr>
              <w:t>Develop</w:t>
            </w:r>
            <w:r w:rsidR="00E60559" w:rsidRPr="00D17527">
              <w:rPr>
                <w:sz w:val="16"/>
              </w:rPr>
              <w:t xml:space="preserve"> long-standing</w:t>
            </w:r>
            <w:r w:rsidRPr="00D17527">
              <w:rPr>
                <w:sz w:val="16"/>
              </w:rPr>
              <w:t xml:space="preserve"> relationship</w:t>
            </w:r>
            <w:r w:rsidR="00B36868">
              <w:rPr>
                <w:sz w:val="16"/>
              </w:rPr>
              <w:t>; education about money</w:t>
            </w:r>
          </w:p>
        </w:tc>
        <w:tc>
          <w:tcPr>
            <w:tcW w:w="1393" w:type="dxa"/>
          </w:tcPr>
          <w:p w:rsidR="00F32944" w:rsidRPr="00D17527" w:rsidRDefault="00F32944" w:rsidP="00F748B8">
            <w:pPr>
              <w:cnfStyle w:val="000000000000"/>
              <w:rPr>
                <w:sz w:val="16"/>
              </w:rPr>
            </w:pPr>
            <w:r w:rsidRPr="00D17527">
              <w:rPr>
                <w:sz w:val="16"/>
              </w:rPr>
              <w:t xml:space="preserve">Establish </w:t>
            </w:r>
            <w:r w:rsidR="00B36868">
              <w:rPr>
                <w:sz w:val="16"/>
              </w:rPr>
              <w:t xml:space="preserve">and develop </w:t>
            </w:r>
            <w:r w:rsidRPr="00D17527">
              <w:rPr>
                <w:sz w:val="16"/>
              </w:rPr>
              <w:t xml:space="preserve">credit </w:t>
            </w:r>
            <w:r w:rsidR="00B36868">
              <w:rPr>
                <w:sz w:val="16"/>
              </w:rPr>
              <w:t xml:space="preserve">and lending </w:t>
            </w:r>
            <w:r w:rsidRPr="00D17527">
              <w:rPr>
                <w:sz w:val="16"/>
              </w:rPr>
              <w:t>relationship</w:t>
            </w:r>
          </w:p>
        </w:tc>
        <w:tc>
          <w:tcPr>
            <w:tcW w:w="1385" w:type="dxa"/>
          </w:tcPr>
          <w:p w:rsidR="00F32944" w:rsidRPr="00D17527" w:rsidRDefault="00F32944" w:rsidP="00F748B8">
            <w:pPr>
              <w:cnfStyle w:val="000000000000"/>
              <w:rPr>
                <w:sz w:val="16"/>
              </w:rPr>
            </w:pPr>
            <w:r w:rsidRPr="00D17527">
              <w:rPr>
                <w:sz w:val="16"/>
              </w:rPr>
              <w:t xml:space="preserve">Business lending and </w:t>
            </w:r>
            <w:r w:rsidR="00B36868">
              <w:rPr>
                <w:sz w:val="16"/>
              </w:rPr>
              <w:t xml:space="preserve">small business </w:t>
            </w:r>
            <w:r w:rsidRPr="00D17527">
              <w:rPr>
                <w:sz w:val="16"/>
              </w:rPr>
              <w:t>advice</w:t>
            </w:r>
            <w:r w:rsidR="00E60559" w:rsidRPr="00D17527">
              <w:rPr>
                <w:sz w:val="16"/>
              </w:rPr>
              <w:t xml:space="preserve"> services</w:t>
            </w:r>
          </w:p>
        </w:tc>
        <w:tc>
          <w:tcPr>
            <w:tcW w:w="1553" w:type="dxa"/>
          </w:tcPr>
          <w:p w:rsidR="00F32944" w:rsidRPr="00D17527" w:rsidRDefault="00E60559" w:rsidP="00F748B8">
            <w:pPr>
              <w:cnfStyle w:val="000000000000"/>
              <w:rPr>
                <w:sz w:val="16"/>
              </w:rPr>
            </w:pPr>
            <w:r w:rsidRPr="00D17527">
              <w:rPr>
                <w:sz w:val="16"/>
              </w:rPr>
              <w:t>Manage their portfolio and provide planning services</w:t>
            </w:r>
          </w:p>
        </w:tc>
        <w:tc>
          <w:tcPr>
            <w:tcW w:w="1416" w:type="dxa"/>
          </w:tcPr>
          <w:p w:rsidR="00F32944" w:rsidRPr="00D17527" w:rsidRDefault="00F32944" w:rsidP="00F748B8">
            <w:pPr>
              <w:cnfStyle w:val="000000000000"/>
              <w:rPr>
                <w:sz w:val="16"/>
              </w:rPr>
            </w:pPr>
            <w:r w:rsidRPr="00D17527">
              <w:rPr>
                <w:sz w:val="16"/>
              </w:rPr>
              <w:t>Risk reduction</w:t>
            </w:r>
            <w:r w:rsidR="00E60559" w:rsidRPr="00D17527">
              <w:rPr>
                <w:sz w:val="16"/>
              </w:rPr>
              <w:t xml:space="preserve"> and manage debt</w:t>
            </w:r>
            <w:r w:rsidR="00B36868">
              <w:rPr>
                <w:sz w:val="16"/>
              </w:rPr>
              <w:t xml:space="preserve"> without failure</w:t>
            </w:r>
          </w:p>
        </w:tc>
        <w:tc>
          <w:tcPr>
            <w:tcW w:w="1168" w:type="dxa"/>
          </w:tcPr>
          <w:p w:rsidR="00F32944" w:rsidRPr="00D17527" w:rsidRDefault="00F32944" w:rsidP="00F748B8">
            <w:pPr>
              <w:cnfStyle w:val="000000000000"/>
              <w:rPr>
                <w:sz w:val="16"/>
              </w:rPr>
            </w:pPr>
            <w:r w:rsidRPr="00D17527">
              <w:rPr>
                <w:sz w:val="16"/>
              </w:rPr>
              <w:t>Income management</w:t>
            </w:r>
            <w:r w:rsidR="00B36868">
              <w:rPr>
                <w:sz w:val="16"/>
              </w:rPr>
              <w:t xml:space="preserve">, </w:t>
            </w:r>
            <w:r w:rsidR="00E60559" w:rsidRPr="00D17527">
              <w:rPr>
                <w:sz w:val="16"/>
              </w:rPr>
              <w:t xml:space="preserve"> and estate planning</w:t>
            </w:r>
          </w:p>
        </w:tc>
      </w:tr>
      <w:tr w:rsidR="008545C4" w:rsidTr="00B36868">
        <w:tc>
          <w:tcPr>
            <w:cnfStyle w:val="001000000000"/>
            <w:tcW w:w="1071" w:type="dxa"/>
          </w:tcPr>
          <w:p w:rsidR="00B36868" w:rsidRDefault="00E60559" w:rsidP="00F748B8">
            <w:pPr>
              <w:rPr>
                <w:sz w:val="16"/>
              </w:rPr>
            </w:pPr>
            <w:r w:rsidRPr="00D17527">
              <w:rPr>
                <w:sz w:val="16"/>
              </w:rPr>
              <w:t xml:space="preserve">Loyalty </w:t>
            </w:r>
          </w:p>
          <w:p w:rsidR="00B36868" w:rsidRDefault="00B36868" w:rsidP="00F748B8">
            <w:pPr>
              <w:rPr>
                <w:sz w:val="16"/>
              </w:rPr>
            </w:pPr>
          </w:p>
          <w:p w:rsidR="00F32944" w:rsidRPr="00D17527" w:rsidRDefault="00E60559" w:rsidP="00DC657B">
            <w:pPr>
              <w:rPr>
                <w:sz w:val="16"/>
              </w:rPr>
            </w:pPr>
            <w:r w:rsidRPr="00D17527">
              <w:rPr>
                <w:sz w:val="16"/>
              </w:rPr>
              <w:t xml:space="preserve">(length of standing with the </w:t>
            </w:r>
            <w:r w:rsidR="00DC657B">
              <w:rPr>
                <w:sz w:val="16"/>
              </w:rPr>
              <w:t>b</w:t>
            </w:r>
            <w:r w:rsidRPr="00D17527">
              <w:rPr>
                <w:sz w:val="16"/>
              </w:rPr>
              <w:t>ank or competition)</w:t>
            </w:r>
          </w:p>
        </w:tc>
        <w:tc>
          <w:tcPr>
            <w:tcW w:w="1256" w:type="dxa"/>
          </w:tcPr>
          <w:p w:rsidR="00F32944" w:rsidRPr="00D17527" w:rsidRDefault="00E60559" w:rsidP="009F1CBD">
            <w:pPr>
              <w:cnfStyle w:val="000000000000"/>
              <w:rPr>
                <w:sz w:val="16"/>
              </w:rPr>
            </w:pPr>
            <w:r w:rsidRPr="00D17527">
              <w:rPr>
                <w:sz w:val="16"/>
              </w:rPr>
              <w:t xml:space="preserve">Short: may have been a </w:t>
            </w:r>
            <w:r w:rsidR="009F1CBD">
              <w:rPr>
                <w:sz w:val="16"/>
              </w:rPr>
              <w:t>J</w:t>
            </w:r>
            <w:r w:rsidRPr="00D17527">
              <w:rPr>
                <w:sz w:val="16"/>
              </w:rPr>
              <w:t xml:space="preserve">unior </w:t>
            </w:r>
            <w:r w:rsidR="009F1CBD">
              <w:rPr>
                <w:sz w:val="16"/>
              </w:rPr>
              <w:t>S</w:t>
            </w:r>
            <w:r w:rsidRPr="00D17527">
              <w:rPr>
                <w:sz w:val="16"/>
              </w:rPr>
              <w:t>aver or “in trust for”</w:t>
            </w:r>
          </w:p>
        </w:tc>
        <w:tc>
          <w:tcPr>
            <w:tcW w:w="1393" w:type="dxa"/>
          </w:tcPr>
          <w:p w:rsidR="00F32944" w:rsidRPr="00D17527" w:rsidRDefault="00E60559" w:rsidP="00E60559">
            <w:pPr>
              <w:cnfStyle w:val="000000000000"/>
              <w:rPr>
                <w:sz w:val="16"/>
              </w:rPr>
            </w:pPr>
            <w:r w:rsidRPr="00D17527">
              <w:rPr>
                <w:sz w:val="16"/>
              </w:rPr>
              <w:t>Short: possibly had another bank as an undergraduate</w:t>
            </w:r>
          </w:p>
        </w:tc>
        <w:tc>
          <w:tcPr>
            <w:tcW w:w="1385" w:type="dxa"/>
          </w:tcPr>
          <w:p w:rsidR="00F32944" w:rsidRPr="00D17527" w:rsidRDefault="00E60559" w:rsidP="00DC657B">
            <w:pPr>
              <w:cnfStyle w:val="000000000000"/>
              <w:rPr>
                <w:sz w:val="16"/>
              </w:rPr>
            </w:pPr>
            <w:r w:rsidRPr="00D17527">
              <w:rPr>
                <w:sz w:val="16"/>
              </w:rPr>
              <w:t xml:space="preserve">Medium-long: established relationship with the </w:t>
            </w:r>
            <w:r w:rsidR="00DC657B">
              <w:rPr>
                <w:sz w:val="16"/>
              </w:rPr>
              <w:t>b</w:t>
            </w:r>
            <w:r w:rsidRPr="00D17527">
              <w:rPr>
                <w:sz w:val="16"/>
              </w:rPr>
              <w:t>ank; reasonable complexity/inertia to switch banks</w:t>
            </w:r>
          </w:p>
        </w:tc>
        <w:tc>
          <w:tcPr>
            <w:tcW w:w="1553" w:type="dxa"/>
          </w:tcPr>
          <w:p w:rsidR="00F32944" w:rsidRPr="00D17527" w:rsidRDefault="00E60559" w:rsidP="00DC657B">
            <w:pPr>
              <w:cnfStyle w:val="000000000000"/>
              <w:rPr>
                <w:sz w:val="16"/>
              </w:rPr>
            </w:pPr>
            <w:r w:rsidRPr="00D17527">
              <w:rPr>
                <w:sz w:val="16"/>
              </w:rPr>
              <w:t>Short-medium: tendency to jump banks depending on products/services and particularly cost basis (</w:t>
            </w:r>
            <w:r w:rsidR="00DC657B">
              <w:rPr>
                <w:sz w:val="16"/>
              </w:rPr>
              <w:t>for example,</w:t>
            </w:r>
            <w:r w:rsidRPr="00D17527">
              <w:rPr>
                <w:sz w:val="16"/>
              </w:rPr>
              <w:t xml:space="preserve"> </w:t>
            </w:r>
            <w:r w:rsidR="00D17527" w:rsidRPr="00D17527">
              <w:rPr>
                <w:sz w:val="16"/>
              </w:rPr>
              <w:t>interest rates, flexibility of lending)</w:t>
            </w:r>
          </w:p>
        </w:tc>
        <w:tc>
          <w:tcPr>
            <w:tcW w:w="1416" w:type="dxa"/>
          </w:tcPr>
          <w:p w:rsidR="00F32944" w:rsidRDefault="00D17527" w:rsidP="00D17527">
            <w:pPr>
              <w:cnfStyle w:val="000000000000"/>
              <w:rPr>
                <w:sz w:val="16"/>
              </w:rPr>
            </w:pPr>
            <w:r w:rsidRPr="00D17527">
              <w:rPr>
                <w:sz w:val="16"/>
              </w:rPr>
              <w:t>Medium: typically a medium-standing customer who has developed debt; tends not to switch because of debt difficulties</w:t>
            </w:r>
          </w:p>
          <w:p w:rsidR="00B36868" w:rsidRPr="00D17527" w:rsidRDefault="00B36868" w:rsidP="00D17527">
            <w:pPr>
              <w:cnfStyle w:val="000000000000"/>
              <w:rPr>
                <w:sz w:val="16"/>
              </w:rPr>
            </w:pPr>
          </w:p>
        </w:tc>
        <w:tc>
          <w:tcPr>
            <w:tcW w:w="1168" w:type="dxa"/>
          </w:tcPr>
          <w:p w:rsidR="00F32944" w:rsidRPr="00D17527" w:rsidRDefault="00D17527" w:rsidP="00DC657B">
            <w:pPr>
              <w:cnfStyle w:val="000000000000"/>
              <w:rPr>
                <w:sz w:val="16"/>
              </w:rPr>
            </w:pPr>
            <w:r w:rsidRPr="00D17527">
              <w:rPr>
                <w:sz w:val="16"/>
              </w:rPr>
              <w:t xml:space="preserve">Medium-long: usually a long standing customer to the </w:t>
            </w:r>
            <w:r w:rsidR="00DC657B">
              <w:rPr>
                <w:sz w:val="16"/>
              </w:rPr>
              <w:t>b</w:t>
            </w:r>
            <w:r w:rsidRPr="00D17527">
              <w:rPr>
                <w:sz w:val="16"/>
              </w:rPr>
              <w:t>ank with high degree of loyalty, doesn’t consider switching</w:t>
            </w:r>
          </w:p>
        </w:tc>
      </w:tr>
      <w:tr w:rsidR="008545C4" w:rsidTr="00B36868">
        <w:tc>
          <w:tcPr>
            <w:cnfStyle w:val="001000000000"/>
            <w:tcW w:w="1071" w:type="dxa"/>
          </w:tcPr>
          <w:p w:rsidR="00B36868" w:rsidRDefault="00D17527" w:rsidP="00F748B8">
            <w:pPr>
              <w:rPr>
                <w:sz w:val="16"/>
              </w:rPr>
            </w:pPr>
            <w:r w:rsidRPr="00D17527">
              <w:rPr>
                <w:sz w:val="16"/>
              </w:rPr>
              <w:t xml:space="preserve">Kind of relationship </w:t>
            </w:r>
          </w:p>
          <w:p w:rsidR="00B36868" w:rsidRDefault="00B36868" w:rsidP="00F748B8">
            <w:pPr>
              <w:rPr>
                <w:sz w:val="16"/>
              </w:rPr>
            </w:pPr>
          </w:p>
          <w:p w:rsidR="00F32944" w:rsidRPr="00D17527" w:rsidRDefault="00D17527" w:rsidP="00F748B8">
            <w:pPr>
              <w:rPr>
                <w:sz w:val="16"/>
              </w:rPr>
            </w:pPr>
            <w:r w:rsidRPr="00D17527">
              <w:rPr>
                <w:sz w:val="16"/>
              </w:rPr>
              <w:t>(how the customer tends to see and use the bank)</w:t>
            </w:r>
          </w:p>
        </w:tc>
        <w:tc>
          <w:tcPr>
            <w:tcW w:w="1256" w:type="dxa"/>
          </w:tcPr>
          <w:p w:rsidR="00F32944" w:rsidRPr="00D17527" w:rsidRDefault="00D17527" w:rsidP="00D17527">
            <w:pPr>
              <w:cnfStyle w:val="000000000000"/>
              <w:rPr>
                <w:sz w:val="16"/>
              </w:rPr>
            </w:pPr>
            <w:r w:rsidRPr="00D17527">
              <w:rPr>
                <w:sz w:val="16"/>
              </w:rPr>
              <w:t>Transactional, low volume – but with some relationship expectations through Junior Savers club and Parents’ Connection</w:t>
            </w:r>
          </w:p>
        </w:tc>
        <w:tc>
          <w:tcPr>
            <w:tcW w:w="1393" w:type="dxa"/>
          </w:tcPr>
          <w:p w:rsidR="00F32944" w:rsidRPr="00D17527" w:rsidRDefault="00D17527" w:rsidP="00DC657B">
            <w:pPr>
              <w:cnfStyle w:val="000000000000"/>
              <w:rPr>
                <w:sz w:val="16"/>
              </w:rPr>
            </w:pPr>
            <w:r w:rsidRPr="00D17527">
              <w:rPr>
                <w:sz w:val="16"/>
              </w:rPr>
              <w:t xml:space="preserve">Transactional, cash based, low value: expects cheap/automatic  overdrafts and plenty of understanding from the </w:t>
            </w:r>
            <w:r w:rsidR="00DC657B">
              <w:rPr>
                <w:sz w:val="16"/>
              </w:rPr>
              <w:t>b</w:t>
            </w:r>
            <w:r w:rsidRPr="00D17527">
              <w:rPr>
                <w:sz w:val="16"/>
              </w:rPr>
              <w:t>ank (</w:t>
            </w:r>
            <w:r w:rsidR="00DC657B">
              <w:rPr>
                <w:sz w:val="16"/>
              </w:rPr>
              <w:t>for example,</w:t>
            </w:r>
            <w:r w:rsidRPr="00D17527">
              <w:rPr>
                <w:sz w:val="16"/>
              </w:rPr>
              <w:t xml:space="preserve"> reversal of fees)</w:t>
            </w:r>
          </w:p>
        </w:tc>
        <w:tc>
          <w:tcPr>
            <w:tcW w:w="1385" w:type="dxa"/>
          </w:tcPr>
          <w:p w:rsidR="00F32944" w:rsidRPr="00D17527" w:rsidRDefault="00D17527" w:rsidP="00F748B8">
            <w:pPr>
              <w:cnfStyle w:val="000000000000"/>
              <w:rPr>
                <w:sz w:val="16"/>
              </w:rPr>
            </w:pPr>
            <w:r>
              <w:rPr>
                <w:sz w:val="16"/>
              </w:rPr>
              <w:t>Relationship based, expects negotiated loan rates and flexibility based on tenure and understanding of the particular business</w:t>
            </w:r>
          </w:p>
        </w:tc>
        <w:tc>
          <w:tcPr>
            <w:tcW w:w="1553" w:type="dxa"/>
          </w:tcPr>
          <w:p w:rsidR="00F32944" w:rsidRDefault="009F1CBD" w:rsidP="00F748B8">
            <w:pPr>
              <w:cnfStyle w:val="000000000000"/>
              <w:rPr>
                <w:sz w:val="16"/>
              </w:rPr>
            </w:pPr>
            <w:r>
              <w:rPr>
                <w:sz w:val="16"/>
              </w:rPr>
              <w:t xml:space="preserve">Relationship based, fast; expects decisions to be made quickly, expects existing collateral details to be recorded and considered in lending and investment products with </w:t>
            </w:r>
            <w:r w:rsidR="00DC657B">
              <w:rPr>
                <w:sz w:val="16"/>
              </w:rPr>
              <w:t>b</w:t>
            </w:r>
            <w:r>
              <w:rPr>
                <w:sz w:val="16"/>
              </w:rPr>
              <w:t>ank</w:t>
            </w:r>
          </w:p>
          <w:p w:rsidR="00B36868" w:rsidRPr="00D17527" w:rsidRDefault="00B36868" w:rsidP="00F748B8">
            <w:pPr>
              <w:cnfStyle w:val="000000000000"/>
              <w:rPr>
                <w:sz w:val="16"/>
              </w:rPr>
            </w:pPr>
          </w:p>
        </w:tc>
        <w:tc>
          <w:tcPr>
            <w:tcW w:w="1416" w:type="dxa"/>
          </w:tcPr>
          <w:p w:rsidR="00F32944" w:rsidRPr="00D17527" w:rsidRDefault="009F1CBD" w:rsidP="00F748B8">
            <w:pPr>
              <w:cnfStyle w:val="000000000000"/>
              <w:rPr>
                <w:sz w:val="16"/>
              </w:rPr>
            </w:pPr>
            <w:r>
              <w:rPr>
                <w:sz w:val="16"/>
              </w:rPr>
              <w:t>Relationship based, for purposes of ongoing tracking and risk management</w:t>
            </w:r>
          </w:p>
        </w:tc>
        <w:tc>
          <w:tcPr>
            <w:tcW w:w="1168" w:type="dxa"/>
          </w:tcPr>
          <w:p w:rsidR="00F32944" w:rsidRPr="00D17527" w:rsidRDefault="009F1CBD" w:rsidP="00F748B8">
            <w:pPr>
              <w:cnfStyle w:val="000000000000"/>
              <w:rPr>
                <w:sz w:val="16"/>
              </w:rPr>
            </w:pPr>
            <w:r>
              <w:rPr>
                <w:sz w:val="16"/>
              </w:rPr>
              <w:t>Relationship based; appreciative of advice being offered proactively</w:t>
            </w:r>
          </w:p>
        </w:tc>
      </w:tr>
      <w:tr w:rsidR="008545C4" w:rsidTr="00B36868">
        <w:tc>
          <w:tcPr>
            <w:cnfStyle w:val="001000000000"/>
            <w:tcW w:w="1071" w:type="dxa"/>
          </w:tcPr>
          <w:p w:rsidR="00F32944" w:rsidRPr="00D17527" w:rsidRDefault="009F1CBD" w:rsidP="00DC657B">
            <w:pPr>
              <w:rPr>
                <w:sz w:val="16"/>
              </w:rPr>
            </w:pPr>
            <w:r>
              <w:rPr>
                <w:sz w:val="16"/>
              </w:rPr>
              <w:t xml:space="preserve">Main </w:t>
            </w:r>
            <w:r w:rsidR="00DC657B">
              <w:rPr>
                <w:sz w:val="16"/>
              </w:rPr>
              <w:t>b</w:t>
            </w:r>
            <w:r w:rsidR="003B2059">
              <w:rPr>
                <w:sz w:val="16"/>
              </w:rPr>
              <w:t xml:space="preserve">anking </w:t>
            </w:r>
            <w:r>
              <w:rPr>
                <w:sz w:val="16"/>
              </w:rPr>
              <w:t>products of interest online</w:t>
            </w:r>
          </w:p>
        </w:tc>
        <w:tc>
          <w:tcPr>
            <w:tcW w:w="1256" w:type="dxa"/>
          </w:tcPr>
          <w:p w:rsidR="00F32944" w:rsidRPr="00D17527" w:rsidRDefault="009F1CBD" w:rsidP="00CC0349">
            <w:pPr>
              <w:cnfStyle w:val="000000000000"/>
              <w:rPr>
                <w:sz w:val="16"/>
              </w:rPr>
            </w:pPr>
            <w:r>
              <w:rPr>
                <w:sz w:val="16"/>
              </w:rPr>
              <w:t>Savings</w:t>
            </w:r>
          </w:p>
        </w:tc>
        <w:tc>
          <w:tcPr>
            <w:tcW w:w="1393" w:type="dxa"/>
          </w:tcPr>
          <w:p w:rsidR="00F32944" w:rsidRPr="00D17527" w:rsidRDefault="009F1CBD" w:rsidP="00F748B8">
            <w:pPr>
              <w:cnfStyle w:val="000000000000"/>
              <w:rPr>
                <w:sz w:val="16"/>
              </w:rPr>
            </w:pPr>
            <w:r>
              <w:rPr>
                <w:sz w:val="16"/>
              </w:rPr>
              <w:t>Savings, credit card, bill payment, travel products, possible mortgage application &amp; management</w:t>
            </w:r>
          </w:p>
        </w:tc>
        <w:tc>
          <w:tcPr>
            <w:tcW w:w="1385" w:type="dxa"/>
          </w:tcPr>
          <w:p w:rsidR="00F32944" w:rsidRPr="00D17527" w:rsidRDefault="009F1CBD" w:rsidP="009F1CBD">
            <w:pPr>
              <w:cnfStyle w:val="000000000000"/>
              <w:rPr>
                <w:sz w:val="16"/>
              </w:rPr>
            </w:pPr>
            <w:r>
              <w:rPr>
                <w:sz w:val="16"/>
              </w:rPr>
              <w:t>Loans, checking, group accounts, tax summaries, business finance management services</w:t>
            </w:r>
            <w:r w:rsidR="00CC0349">
              <w:rPr>
                <w:sz w:val="16"/>
              </w:rPr>
              <w:t>, bill payment</w:t>
            </w:r>
          </w:p>
        </w:tc>
        <w:tc>
          <w:tcPr>
            <w:tcW w:w="1553" w:type="dxa"/>
          </w:tcPr>
          <w:p w:rsidR="00F32944" w:rsidRPr="00D17527" w:rsidRDefault="009F1CBD" w:rsidP="00F748B8">
            <w:pPr>
              <w:cnfStyle w:val="000000000000"/>
              <w:rPr>
                <w:sz w:val="16"/>
              </w:rPr>
            </w:pPr>
            <w:r>
              <w:rPr>
                <w:sz w:val="16"/>
              </w:rPr>
              <w:t>Investments, stock portfolios; travel products, life assurance</w:t>
            </w:r>
          </w:p>
        </w:tc>
        <w:tc>
          <w:tcPr>
            <w:tcW w:w="1416" w:type="dxa"/>
          </w:tcPr>
          <w:p w:rsidR="00F32944" w:rsidRPr="00D17527" w:rsidRDefault="009F1CBD" w:rsidP="00F748B8">
            <w:pPr>
              <w:cnfStyle w:val="000000000000"/>
              <w:rPr>
                <w:sz w:val="16"/>
              </w:rPr>
            </w:pPr>
            <w:r>
              <w:rPr>
                <w:sz w:val="16"/>
              </w:rPr>
              <w:t>Loans, credit card, personal finance management</w:t>
            </w:r>
          </w:p>
        </w:tc>
        <w:tc>
          <w:tcPr>
            <w:tcW w:w="1168" w:type="dxa"/>
          </w:tcPr>
          <w:p w:rsidR="00F32944" w:rsidRDefault="009F1CBD" w:rsidP="00F748B8">
            <w:pPr>
              <w:cnfStyle w:val="000000000000"/>
              <w:rPr>
                <w:sz w:val="16"/>
              </w:rPr>
            </w:pPr>
            <w:r>
              <w:rPr>
                <w:sz w:val="16"/>
              </w:rPr>
              <w:t>Income services/portfolio management, checking, credit card</w:t>
            </w:r>
            <w:r w:rsidR="00CC0349">
              <w:rPr>
                <w:sz w:val="16"/>
              </w:rPr>
              <w:t>, bill payment</w:t>
            </w:r>
            <w:r w:rsidR="00B36868">
              <w:rPr>
                <w:sz w:val="16"/>
              </w:rPr>
              <w:t>, travel services including insurance</w:t>
            </w:r>
          </w:p>
          <w:p w:rsidR="00B36868" w:rsidRPr="00D17527" w:rsidRDefault="00B36868" w:rsidP="00F748B8">
            <w:pPr>
              <w:cnfStyle w:val="000000000000"/>
              <w:rPr>
                <w:sz w:val="16"/>
              </w:rPr>
            </w:pPr>
          </w:p>
        </w:tc>
      </w:tr>
      <w:tr w:rsidR="008545C4" w:rsidTr="00B36868">
        <w:tc>
          <w:tcPr>
            <w:cnfStyle w:val="001000000000"/>
            <w:tcW w:w="1071" w:type="dxa"/>
          </w:tcPr>
          <w:p w:rsidR="00F32944" w:rsidRDefault="003B2059" w:rsidP="00F748B8">
            <w:pPr>
              <w:rPr>
                <w:sz w:val="16"/>
              </w:rPr>
            </w:pPr>
            <w:r>
              <w:rPr>
                <w:sz w:val="16"/>
              </w:rPr>
              <w:t>Time available for online services</w:t>
            </w:r>
          </w:p>
          <w:p w:rsidR="00B36868" w:rsidRPr="00D17527" w:rsidRDefault="00B36868" w:rsidP="00F748B8">
            <w:pPr>
              <w:rPr>
                <w:sz w:val="16"/>
              </w:rPr>
            </w:pPr>
          </w:p>
        </w:tc>
        <w:tc>
          <w:tcPr>
            <w:tcW w:w="1256" w:type="dxa"/>
          </w:tcPr>
          <w:p w:rsidR="00F32944" w:rsidRPr="00D17527" w:rsidRDefault="003B2059" w:rsidP="00F748B8">
            <w:pPr>
              <w:cnfStyle w:val="000000000000"/>
              <w:rPr>
                <w:sz w:val="16"/>
              </w:rPr>
            </w:pPr>
            <w:r>
              <w:rPr>
                <w:sz w:val="16"/>
              </w:rPr>
              <w:t>Typically short sessions / limited scope</w:t>
            </w:r>
          </w:p>
        </w:tc>
        <w:tc>
          <w:tcPr>
            <w:tcW w:w="1393" w:type="dxa"/>
          </w:tcPr>
          <w:p w:rsidR="00F32944" w:rsidRPr="00D17527" w:rsidRDefault="003B2059" w:rsidP="00F748B8">
            <w:pPr>
              <w:cnfStyle w:val="000000000000"/>
              <w:rPr>
                <w:sz w:val="16"/>
              </w:rPr>
            </w:pPr>
            <w:r>
              <w:rPr>
                <w:sz w:val="16"/>
              </w:rPr>
              <w:t>Short, but willing to spend longer if applying for something specific (product)</w:t>
            </w:r>
          </w:p>
        </w:tc>
        <w:tc>
          <w:tcPr>
            <w:tcW w:w="1385" w:type="dxa"/>
          </w:tcPr>
          <w:p w:rsidR="00F32944" w:rsidRPr="00D17527" w:rsidRDefault="00F56ED7" w:rsidP="00F748B8">
            <w:pPr>
              <w:cnfStyle w:val="000000000000"/>
              <w:rPr>
                <w:sz w:val="16"/>
              </w:rPr>
            </w:pPr>
            <w:r>
              <w:rPr>
                <w:sz w:val="16"/>
              </w:rPr>
              <w:t>Moderate, often outside regular business hours; longer periods may be spent online at end of financial year and for quarterly business activity statements</w:t>
            </w:r>
          </w:p>
        </w:tc>
        <w:tc>
          <w:tcPr>
            <w:tcW w:w="1553" w:type="dxa"/>
          </w:tcPr>
          <w:p w:rsidR="00F32944" w:rsidRPr="00D17527" w:rsidRDefault="00F56ED7" w:rsidP="00F748B8">
            <w:pPr>
              <w:cnfStyle w:val="000000000000"/>
              <w:rPr>
                <w:sz w:val="16"/>
              </w:rPr>
            </w:pPr>
            <w:r>
              <w:rPr>
                <w:sz w:val="16"/>
              </w:rPr>
              <w:t>Varies; short for checking, longer for investment research; responsiveness is key throughout</w:t>
            </w:r>
          </w:p>
        </w:tc>
        <w:tc>
          <w:tcPr>
            <w:tcW w:w="1416" w:type="dxa"/>
          </w:tcPr>
          <w:p w:rsidR="00F32944" w:rsidRPr="00D17527" w:rsidRDefault="00F56ED7" w:rsidP="00F56ED7">
            <w:pPr>
              <w:cnfStyle w:val="000000000000"/>
              <w:rPr>
                <w:sz w:val="16"/>
              </w:rPr>
            </w:pPr>
            <w:r>
              <w:rPr>
                <w:sz w:val="16"/>
              </w:rPr>
              <w:t>Short; does not typically focus on further product application but on frequent status of debt</w:t>
            </w:r>
          </w:p>
        </w:tc>
        <w:tc>
          <w:tcPr>
            <w:tcW w:w="1168" w:type="dxa"/>
          </w:tcPr>
          <w:p w:rsidR="00F32944" w:rsidRDefault="00F56ED7" w:rsidP="00CC0349">
            <w:pPr>
              <w:cnfStyle w:val="000000000000"/>
              <w:rPr>
                <w:sz w:val="16"/>
              </w:rPr>
            </w:pPr>
            <w:r>
              <w:rPr>
                <w:sz w:val="16"/>
              </w:rPr>
              <w:t>Longer</w:t>
            </w:r>
            <w:r w:rsidR="00CC0349">
              <w:rPr>
                <w:sz w:val="16"/>
              </w:rPr>
              <w:t xml:space="preserve"> periods spent online</w:t>
            </w:r>
            <w:r>
              <w:rPr>
                <w:sz w:val="16"/>
              </w:rPr>
              <w:t xml:space="preserve">, </w:t>
            </w:r>
            <w:r w:rsidR="00CC0349">
              <w:rPr>
                <w:sz w:val="16"/>
              </w:rPr>
              <w:t>mostly characterised reviewing balances and by exploration of site and occasional requests for information</w:t>
            </w:r>
          </w:p>
          <w:p w:rsidR="00B36868" w:rsidRPr="00D17527" w:rsidRDefault="00B36868" w:rsidP="00CC0349">
            <w:pPr>
              <w:cnfStyle w:val="000000000000"/>
              <w:rPr>
                <w:sz w:val="16"/>
              </w:rPr>
            </w:pPr>
          </w:p>
        </w:tc>
      </w:tr>
      <w:tr w:rsidR="008545C4" w:rsidTr="00B36868">
        <w:tc>
          <w:tcPr>
            <w:cnfStyle w:val="001000000000"/>
            <w:tcW w:w="1071" w:type="dxa"/>
          </w:tcPr>
          <w:p w:rsidR="008545C4" w:rsidRDefault="008545C4" w:rsidP="00F748B8">
            <w:pPr>
              <w:rPr>
                <w:sz w:val="16"/>
              </w:rPr>
            </w:pPr>
            <w:r>
              <w:rPr>
                <w:sz w:val="16"/>
              </w:rPr>
              <w:t>Priority to development</w:t>
            </w:r>
          </w:p>
          <w:p w:rsidR="008545C4" w:rsidRDefault="008545C4" w:rsidP="00F748B8">
            <w:pPr>
              <w:rPr>
                <w:sz w:val="16"/>
              </w:rPr>
            </w:pPr>
          </w:p>
        </w:tc>
        <w:tc>
          <w:tcPr>
            <w:tcW w:w="1256" w:type="dxa"/>
          </w:tcPr>
          <w:p w:rsidR="008545C4" w:rsidRDefault="008545C4" w:rsidP="00F748B8">
            <w:pPr>
              <w:cnfStyle w:val="000000000000"/>
              <w:rPr>
                <w:sz w:val="16"/>
              </w:rPr>
            </w:pPr>
            <w:r>
              <w:rPr>
                <w:sz w:val="16"/>
              </w:rPr>
              <w:t>Priority 3</w:t>
            </w:r>
          </w:p>
        </w:tc>
        <w:tc>
          <w:tcPr>
            <w:tcW w:w="1393" w:type="dxa"/>
          </w:tcPr>
          <w:p w:rsidR="008545C4" w:rsidRDefault="008545C4" w:rsidP="00F748B8">
            <w:pPr>
              <w:cnfStyle w:val="000000000000"/>
              <w:rPr>
                <w:sz w:val="16"/>
              </w:rPr>
            </w:pPr>
            <w:r>
              <w:rPr>
                <w:sz w:val="16"/>
              </w:rPr>
              <w:t>Priority 1</w:t>
            </w:r>
          </w:p>
        </w:tc>
        <w:tc>
          <w:tcPr>
            <w:tcW w:w="1385" w:type="dxa"/>
          </w:tcPr>
          <w:p w:rsidR="008545C4" w:rsidRDefault="008545C4" w:rsidP="00F748B8">
            <w:pPr>
              <w:cnfStyle w:val="000000000000"/>
              <w:rPr>
                <w:sz w:val="16"/>
              </w:rPr>
            </w:pPr>
            <w:r>
              <w:rPr>
                <w:sz w:val="16"/>
              </w:rPr>
              <w:t>Priority 1</w:t>
            </w:r>
          </w:p>
        </w:tc>
        <w:tc>
          <w:tcPr>
            <w:tcW w:w="1553" w:type="dxa"/>
          </w:tcPr>
          <w:p w:rsidR="008545C4" w:rsidRDefault="008545C4" w:rsidP="00F748B8">
            <w:pPr>
              <w:cnfStyle w:val="000000000000"/>
              <w:rPr>
                <w:sz w:val="16"/>
              </w:rPr>
            </w:pPr>
            <w:r>
              <w:rPr>
                <w:sz w:val="16"/>
              </w:rPr>
              <w:t>Priority 1</w:t>
            </w:r>
          </w:p>
        </w:tc>
        <w:tc>
          <w:tcPr>
            <w:tcW w:w="1416" w:type="dxa"/>
          </w:tcPr>
          <w:p w:rsidR="008545C4" w:rsidRDefault="008545C4" w:rsidP="00F56ED7">
            <w:pPr>
              <w:cnfStyle w:val="000000000000"/>
              <w:rPr>
                <w:sz w:val="16"/>
              </w:rPr>
            </w:pPr>
            <w:r>
              <w:rPr>
                <w:sz w:val="16"/>
              </w:rPr>
              <w:t>Priority 2</w:t>
            </w:r>
          </w:p>
        </w:tc>
        <w:tc>
          <w:tcPr>
            <w:tcW w:w="1168" w:type="dxa"/>
          </w:tcPr>
          <w:p w:rsidR="008545C4" w:rsidRDefault="008545C4" w:rsidP="00CC0349">
            <w:pPr>
              <w:cnfStyle w:val="000000000000"/>
              <w:rPr>
                <w:sz w:val="16"/>
              </w:rPr>
            </w:pPr>
            <w:r>
              <w:rPr>
                <w:sz w:val="16"/>
              </w:rPr>
              <w:t>Priority 2</w:t>
            </w:r>
          </w:p>
        </w:tc>
      </w:tr>
    </w:tbl>
    <w:p w:rsidR="00B664EA" w:rsidRDefault="00B664EA"/>
    <w:sectPr w:rsidR="00B664EA" w:rsidSect="00CB3908">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9E4" w:rsidRDefault="00D949E4" w:rsidP="006A5696">
      <w:pPr>
        <w:spacing w:after="0" w:line="240" w:lineRule="auto"/>
      </w:pPr>
      <w:r>
        <w:separator/>
      </w:r>
    </w:p>
  </w:endnote>
  <w:endnote w:type="continuationSeparator" w:id="1">
    <w:p w:rsidR="00D949E4" w:rsidRDefault="00D949E4" w:rsidP="006A5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112" w:rsidRDefault="00B651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112" w:rsidRDefault="00B651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112" w:rsidRDefault="00B651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9E4" w:rsidRDefault="00D949E4" w:rsidP="006A5696">
      <w:pPr>
        <w:spacing w:after="0" w:line="240" w:lineRule="auto"/>
      </w:pPr>
      <w:r>
        <w:separator/>
      </w:r>
    </w:p>
  </w:footnote>
  <w:footnote w:type="continuationSeparator" w:id="1">
    <w:p w:rsidR="00D949E4" w:rsidRDefault="00D949E4" w:rsidP="006A56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112" w:rsidRDefault="00B651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112" w:rsidRDefault="00B651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112" w:rsidRDefault="00B6511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4338"/>
  </w:hdrShapeDefaults>
  <w:footnotePr>
    <w:footnote w:id="0"/>
    <w:footnote w:id="1"/>
  </w:footnotePr>
  <w:endnotePr>
    <w:endnote w:id="0"/>
    <w:endnote w:id="1"/>
  </w:endnotePr>
  <w:compat/>
  <w:rsids>
    <w:rsidRoot w:val="00B664EA"/>
    <w:rsid w:val="000318DA"/>
    <w:rsid w:val="00037E7B"/>
    <w:rsid w:val="000756B0"/>
    <w:rsid w:val="001435FD"/>
    <w:rsid w:val="00167FF7"/>
    <w:rsid w:val="001A7B24"/>
    <w:rsid w:val="001B4280"/>
    <w:rsid w:val="001F52D8"/>
    <w:rsid w:val="00211B19"/>
    <w:rsid w:val="002A58BC"/>
    <w:rsid w:val="002B4B20"/>
    <w:rsid w:val="003026AE"/>
    <w:rsid w:val="00307A7A"/>
    <w:rsid w:val="00311037"/>
    <w:rsid w:val="003432C2"/>
    <w:rsid w:val="003A5DBA"/>
    <w:rsid w:val="003B2059"/>
    <w:rsid w:val="003C58E1"/>
    <w:rsid w:val="003F1CF2"/>
    <w:rsid w:val="00465435"/>
    <w:rsid w:val="00465F7C"/>
    <w:rsid w:val="0047607F"/>
    <w:rsid w:val="004A6AB5"/>
    <w:rsid w:val="0052516A"/>
    <w:rsid w:val="00550B7C"/>
    <w:rsid w:val="005C017B"/>
    <w:rsid w:val="005E53F0"/>
    <w:rsid w:val="00617B99"/>
    <w:rsid w:val="00635BA8"/>
    <w:rsid w:val="00647DC5"/>
    <w:rsid w:val="0065505A"/>
    <w:rsid w:val="006A5696"/>
    <w:rsid w:val="00711D06"/>
    <w:rsid w:val="0078684D"/>
    <w:rsid w:val="007A7512"/>
    <w:rsid w:val="007E0CDE"/>
    <w:rsid w:val="007E3308"/>
    <w:rsid w:val="008545C4"/>
    <w:rsid w:val="0089149D"/>
    <w:rsid w:val="008C7A82"/>
    <w:rsid w:val="008D5A19"/>
    <w:rsid w:val="008E03A1"/>
    <w:rsid w:val="0096325C"/>
    <w:rsid w:val="009C699F"/>
    <w:rsid w:val="009F1CBD"/>
    <w:rsid w:val="00A22F1A"/>
    <w:rsid w:val="00A50746"/>
    <w:rsid w:val="00A82014"/>
    <w:rsid w:val="00AC705E"/>
    <w:rsid w:val="00AF3903"/>
    <w:rsid w:val="00AF7336"/>
    <w:rsid w:val="00B04AD1"/>
    <w:rsid w:val="00B36868"/>
    <w:rsid w:val="00B42198"/>
    <w:rsid w:val="00B65112"/>
    <w:rsid w:val="00B664EA"/>
    <w:rsid w:val="00B84D2B"/>
    <w:rsid w:val="00BC5BCC"/>
    <w:rsid w:val="00C86998"/>
    <w:rsid w:val="00CB3908"/>
    <w:rsid w:val="00CC0349"/>
    <w:rsid w:val="00CC17D9"/>
    <w:rsid w:val="00CD0928"/>
    <w:rsid w:val="00CD31DE"/>
    <w:rsid w:val="00D17527"/>
    <w:rsid w:val="00D17A20"/>
    <w:rsid w:val="00D475CE"/>
    <w:rsid w:val="00D7023A"/>
    <w:rsid w:val="00D949E4"/>
    <w:rsid w:val="00D95CBD"/>
    <w:rsid w:val="00DA715B"/>
    <w:rsid w:val="00DC657B"/>
    <w:rsid w:val="00E11AA0"/>
    <w:rsid w:val="00E128C6"/>
    <w:rsid w:val="00E23035"/>
    <w:rsid w:val="00E47522"/>
    <w:rsid w:val="00E60559"/>
    <w:rsid w:val="00EB7D4D"/>
    <w:rsid w:val="00F32944"/>
    <w:rsid w:val="00F56ED7"/>
    <w:rsid w:val="00F672CC"/>
    <w:rsid w:val="00F703D7"/>
    <w:rsid w:val="00F748B8"/>
    <w:rsid w:val="00F9560E"/>
    <w:rsid w:val="00FB4D88"/>
    <w:rsid w:val="00FC7577"/>
    <w:rsid w:val="00FF6F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908"/>
  </w:style>
  <w:style w:type="paragraph" w:styleId="Heading1">
    <w:name w:val="heading 1"/>
    <w:basedOn w:val="Normal"/>
    <w:next w:val="Normal"/>
    <w:link w:val="Heading1Char"/>
    <w:uiPriority w:val="9"/>
    <w:qFormat/>
    <w:rsid w:val="00F748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64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64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4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64E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748B8"/>
    <w:rPr>
      <w:rFonts w:asciiTheme="majorHAnsi" w:eastAsiaTheme="majorEastAsia" w:hAnsiTheme="majorHAnsi" w:cstheme="majorBidi"/>
      <w:b/>
      <w:bCs/>
      <w:color w:val="365F91" w:themeColor="accent1" w:themeShade="BF"/>
      <w:sz w:val="28"/>
      <w:szCs w:val="28"/>
    </w:rPr>
  </w:style>
  <w:style w:type="character" w:styleId="Hyperlink">
    <w:name w:val="Hyperlink"/>
    <w:uiPriority w:val="99"/>
    <w:qFormat/>
    <w:rsid w:val="00E11AA0"/>
    <w:rPr>
      <w:color w:val="365F91" w:themeColor="accent1" w:themeShade="BF"/>
      <w:u w:val="single"/>
    </w:rPr>
  </w:style>
  <w:style w:type="table" w:styleId="ColorfulList-Accent1">
    <w:name w:val="Colorful List Accent 1"/>
    <w:basedOn w:val="TableNormal"/>
    <w:uiPriority w:val="72"/>
    <w:rsid w:val="00E128C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List-Accent5">
    <w:name w:val="Light List Accent 5"/>
    <w:basedOn w:val="TableNormal"/>
    <w:uiPriority w:val="61"/>
    <w:rsid w:val="00E128C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rsid w:val="00E128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89149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Normal1">
    <w:name w:val="Table Normal1"/>
    <w:basedOn w:val="Normal"/>
    <w:rsid w:val="007E0CDE"/>
    <w:pPr>
      <w:spacing w:before="60" w:after="60" w:line="264" w:lineRule="auto"/>
    </w:pPr>
    <w:rPr>
      <w:rFonts w:ascii="Arial Narrow" w:eastAsia="Arial Narrow" w:hAnsi="Arial Narrow" w:cs="Arial Narrow"/>
      <w:sz w:val="18"/>
      <w:szCs w:val="18"/>
      <w:lang w:eastAsia="ja-JP"/>
    </w:rPr>
  </w:style>
  <w:style w:type="paragraph" w:customStyle="1" w:styleId="Default">
    <w:name w:val="Default"/>
    <w:rsid w:val="008D5A19"/>
    <w:pPr>
      <w:autoSpaceDE w:val="0"/>
      <w:autoSpaceDN w:val="0"/>
      <w:adjustRightInd w:val="0"/>
      <w:spacing w:after="0" w:line="240" w:lineRule="auto"/>
    </w:pPr>
    <w:rPr>
      <w:rFonts w:ascii="Arial" w:eastAsiaTheme="minorEastAsia" w:hAnsi="Arial" w:cs="Arial"/>
      <w:color w:val="000000"/>
      <w:sz w:val="24"/>
      <w:szCs w:val="24"/>
      <w:lang w:val="en-US"/>
    </w:rPr>
  </w:style>
  <w:style w:type="table" w:styleId="MediumShading2-Accent4">
    <w:name w:val="Medium Shading 2 Accent 4"/>
    <w:basedOn w:val="TableNormal"/>
    <w:uiPriority w:val="64"/>
    <w:rsid w:val="00B368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10"/>
    <w:qFormat/>
    <w:rsid w:val="00FB4D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D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B4D88"/>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FB4D88"/>
    <w:rPr>
      <w:rFonts w:asciiTheme="majorHAnsi" w:eastAsiaTheme="majorEastAsia" w:hAnsiTheme="majorHAnsi" w:cstheme="majorBidi"/>
      <w:i/>
      <w:iCs/>
      <w:color w:val="4F81BD" w:themeColor="accent1"/>
      <w:spacing w:val="15"/>
      <w:sz w:val="24"/>
      <w:szCs w:val="24"/>
      <w:lang w:val="en-US"/>
    </w:rPr>
  </w:style>
  <w:style w:type="paragraph" w:styleId="Header">
    <w:name w:val="header"/>
    <w:basedOn w:val="Normal"/>
    <w:link w:val="HeaderChar"/>
    <w:uiPriority w:val="99"/>
    <w:semiHidden/>
    <w:unhideWhenUsed/>
    <w:rsid w:val="006A569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5696"/>
  </w:style>
  <w:style w:type="paragraph" w:styleId="Footer">
    <w:name w:val="footer"/>
    <w:basedOn w:val="Normal"/>
    <w:link w:val="FooterChar"/>
    <w:uiPriority w:val="99"/>
    <w:semiHidden/>
    <w:unhideWhenUsed/>
    <w:rsid w:val="006A569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A5696"/>
  </w:style>
  <w:style w:type="paragraph" w:styleId="BalloonText">
    <w:name w:val="Balloon Text"/>
    <w:basedOn w:val="Normal"/>
    <w:link w:val="BalloonTextChar"/>
    <w:uiPriority w:val="99"/>
    <w:semiHidden/>
    <w:unhideWhenUsed/>
    <w:rsid w:val="00B84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D2B"/>
    <w:rPr>
      <w:rFonts w:ascii="Tahoma" w:hAnsi="Tahoma" w:cs="Tahoma"/>
      <w:sz w:val="16"/>
      <w:szCs w:val="16"/>
    </w:rPr>
  </w:style>
  <w:style w:type="paragraph" w:styleId="Revision">
    <w:name w:val="Revision"/>
    <w:hidden/>
    <w:uiPriority w:val="99"/>
    <w:semiHidden/>
    <w:rsid w:val="00617B99"/>
    <w:pPr>
      <w:spacing w:after="0" w:line="240" w:lineRule="auto"/>
    </w:pPr>
  </w:style>
</w:styles>
</file>

<file path=word/webSettings.xml><?xml version="1.0" encoding="utf-8"?>
<w:webSettings xmlns:r="http://schemas.openxmlformats.org/officeDocument/2006/relationships" xmlns:w="http://schemas.openxmlformats.org/wordprocessingml/2006/main">
  <w:divs>
    <w:div w:id="43791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2008-01-09T12:46:00Z</dcterms:created>
  <dcterms:modified xsi:type="dcterms:W3CDTF">2008-01-09T18:47:00Z</dcterms:modified>
</cp:coreProperties>
</file>