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9C" w:rsidRDefault="00A900F4" w:rsidP="001834AE">
      <w:pPr>
        <w:pStyle w:val="Title"/>
      </w:pPr>
      <w:r>
        <w:t>Vision</w:t>
      </w:r>
    </w:p>
    <w:p w:rsidR="001834AE" w:rsidRDefault="00DE5195" w:rsidP="001834AE">
      <w:pPr>
        <w:pStyle w:val="Subtitle"/>
      </w:pPr>
      <w:r>
        <w:t>Woodgrove Bank</w:t>
      </w:r>
      <w:r w:rsidR="001834AE">
        <w:t xml:space="preserve"> Reach </w:t>
      </w:r>
      <w:r w:rsidR="00902F2C">
        <w:t>P</w:t>
      </w:r>
      <w:r w:rsidR="001834AE">
        <w:t>ortal</w:t>
      </w:r>
    </w:p>
    <w:p w:rsidR="00DC4BD5" w:rsidRPr="00E11AA0" w:rsidRDefault="00DC4BD5" w:rsidP="00A900F4">
      <w:pPr>
        <w:pStyle w:val="Heading2"/>
      </w:pPr>
      <w:r>
        <w:t>Document Status</w:t>
      </w:r>
    </w:p>
    <w:tbl>
      <w:tblPr>
        <w:tblStyle w:val="LightShading-Accent11"/>
        <w:tblW w:w="9129" w:type="dxa"/>
        <w:tblLayout w:type="fixed"/>
        <w:tblLook w:val="0400"/>
      </w:tblPr>
      <w:tblGrid>
        <w:gridCol w:w="2434"/>
        <w:gridCol w:w="6695"/>
      </w:tblGrid>
      <w:tr w:rsidR="00DC4BD5" w:rsidRPr="007E0CDE" w:rsidTr="007E503C">
        <w:trPr>
          <w:cnfStyle w:val="000000100000"/>
          <w:trHeight w:hRule="exact" w:val="288"/>
        </w:trPr>
        <w:tc>
          <w:tcPr>
            <w:tcW w:w="2434" w:type="dxa"/>
          </w:tcPr>
          <w:p w:rsidR="00DC4BD5" w:rsidRPr="007E0CDE" w:rsidRDefault="00DC4BD5" w:rsidP="007E503C">
            <w:pPr>
              <w:rPr>
                <w:sz w:val="20"/>
                <w:szCs w:val="20"/>
              </w:rPr>
            </w:pPr>
            <w:r w:rsidRPr="007E0CDE">
              <w:rPr>
                <w:sz w:val="20"/>
                <w:szCs w:val="20"/>
              </w:rPr>
              <w:t>Title</w:t>
            </w:r>
          </w:p>
        </w:tc>
        <w:tc>
          <w:tcPr>
            <w:tcW w:w="6695" w:type="dxa"/>
          </w:tcPr>
          <w:p w:rsidR="00DC4BD5" w:rsidRPr="007E0CDE" w:rsidRDefault="00A900F4" w:rsidP="00067771">
            <w:pPr>
              <w:rPr>
                <w:sz w:val="20"/>
                <w:szCs w:val="20"/>
              </w:rPr>
            </w:pPr>
            <w:r>
              <w:rPr>
                <w:sz w:val="20"/>
                <w:szCs w:val="20"/>
              </w:rPr>
              <w:t>Vision</w:t>
            </w:r>
          </w:p>
        </w:tc>
      </w:tr>
      <w:tr w:rsidR="00DC4BD5" w:rsidRPr="007E0CDE" w:rsidTr="007E503C">
        <w:trPr>
          <w:trHeight w:hRule="exact" w:val="288"/>
        </w:trPr>
        <w:tc>
          <w:tcPr>
            <w:tcW w:w="2434" w:type="dxa"/>
          </w:tcPr>
          <w:p w:rsidR="00DC4BD5" w:rsidRPr="007E0CDE" w:rsidRDefault="00DC4BD5" w:rsidP="007E503C">
            <w:pPr>
              <w:rPr>
                <w:sz w:val="20"/>
                <w:szCs w:val="20"/>
              </w:rPr>
            </w:pPr>
            <w:r w:rsidRPr="007E0CDE">
              <w:rPr>
                <w:sz w:val="20"/>
                <w:szCs w:val="20"/>
              </w:rPr>
              <w:t>Author(s)</w:t>
            </w:r>
          </w:p>
        </w:tc>
        <w:tc>
          <w:tcPr>
            <w:tcW w:w="6695" w:type="dxa"/>
          </w:tcPr>
          <w:p w:rsidR="00DC4BD5" w:rsidRPr="007E0CDE" w:rsidRDefault="00AB3F7D" w:rsidP="007E503C">
            <w:pPr>
              <w:rPr>
                <w:sz w:val="20"/>
                <w:szCs w:val="20"/>
              </w:rPr>
            </w:pPr>
            <w:r w:rsidRPr="00AB3F7D">
              <w:rPr>
                <w:sz w:val="20"/>
                <w:szCs w:val="20"/>
              </w:rPr>
              <w:t>Rafał Rumian</w:t>
            </w:r>
          </w:p>
        </w:tc>
      </w:tr>
      <w:tr w:rsidR="00DC4BD5" w:rsidRPr="007E0CDE" w:rsidTr="007E503C">
        <w:trPr>
          <w:cnfStyle w:val="000000100000"/>
          <w:trHeight w:hRule="exact" w:val="288"/>
        </w:trPr>
        <w:tc>
          <w:tcPr>
            <w:tcW w:w="2434" w:type="dxa"/>
          </w:tcPr>
          <w:p w:rsidR="00DC4BD5" w:rsidRPr="007E0CDE" w:rsidRDefault="00DC4BD5" w:rsidP="007E503C">
            <w:pPr>
              <w:rPr>
                <w:sz w:val="20"/>
                <w:szCs w:val="20"/>
              </w:rPr>
            </w:pPr>
            <w:r w:rsidRPr="007E0CDE">
              <w:rPr>
                <w:sz w:val="20"/>
                <w:szCs w:val="20"/>
              </w:rPr>
              <w:t>Team</w:t>
            </w:r>
          </w:p>
        </w:tc>
        <w:tc>
          <w:tcPr>
            <w:tcW w:w="6695" w:type="dxa"/>
          </w:tcPr>
          <w:p w:rsidR="00DC4BD5" w:rsidRPr="007E0CDE" w:rsidRDefault="00DC4BD5" w:rsidP="007E503C">
            <w:pPr>
              <w:rPr>
                <w:sz w:val="20"/>
                <w:szCs w:val="20"/>
              </w:rPr>
            </w:pPr>
            <w:r w:rsidRPr="007E0CDE">
              <w:rPr>
                <w:sz w:val="20"/>
                <w:szCs w:val="20"/>
              </w:rPr>
              <w:t>Reach</w:t>
            </w:r>
            <w:r>
              <w:rPr>
                <w:sz w:val="20"/>
                <w:szCs w:val="20"/>
              </w:rPr>
              <w:t xml:space="preserve"> </w:t>
            </w:r>
            <w:r w:rsidRPr="007E0CDE">
              <w:rPr>
                <w:sz w:val="20"/>
                <w:szCs w:val="20"/>
              </w:rPr>
              <w:t>Portal project</w:t>
            </w:r>
          </w:p>
        </w:tc>
      </w:tr>
      <w:tr w:rsidR="00DC4BD5" w:rsidRPr="007E0CDE" w:rsidTr="007E503C">
        <w:trPr>
          <w:trHeight w:hRule="exact" w:val="288"/>
        </w:trPr>
        <w:tc>
          <w:tcPr>
            <w:tcW w:w="2434" w:type="dxa"/>
          </w:tcPr>
          <w:p w:rsidR="00DC4BD5" w:rsidRPr="007E0CDE" w:rsidRDefault="00DC4BD5" w:rsidP="007E503C">
            <w:pPr>
              <w:rPr>
                <w:sz w:val="20"/>
                <w:szCs w:val="20"/>
              </w:rPr>
            </w:pPr>
            <w:r w:rsidRPr="007E0CDE">
              <w:rPr>
                <w:sz w:val="20"/>
                <w:szCs w:val="20"/>
              </w:rPr>
              <w:t>Version</w:t>
            </w:r>
          </w:p>
        </w:tc>
        <w:tc>
          <w:tcPr>
            <w:tcW w:w="6695" w:type="dxa"/>
          </w:tcPr>
          <w:p w:rsidR="00DC4BD5" w:rsidRPr="007E0CDE" w:rsidRDefault="00DC4BD5" w:rsidP="007E503C">
            <w:pPr>
              <w:rPr>
                <w:sz w:val="20"/>
                <w:szCs w:val="20"/>
              </w:rPr>
            </w:pPr>
            <w:r w:rsidRPr="007E0CDE">
              <w:rPr>
                <w:sz w:val="20"/>
                <w:szCs w:val="20"/>
              </w:rPr>
              <w:t>v0.</w:t>
            </w:r>
            <w:r>
              <w:rPr>
                <w:sz w:val="20"/>
                <w:szCs w:val="20"/>
              </w:rPr>
              <w:t>1</w:t>
            </w:r>
          </w:p>
        </w:tc>
      </w:tr>
      <w:tr w:rsidR="00DC4BD5" w:rsidRPr="007E0CDE" w:rsidTr="007E503C">
        <w:trPr>
          <w:cnfStyle w:val="000000100000"/>
          <w:trHeight w:hRule="exact" w:val="288"/>
        </w:trPr>
        <w:tc>
          <w:tcPr>
            <w:tcW w:w="2434" w:type="dxa"/>
          </w:tcPr>
          <w:p w:rsidR="00DC4BD5" w:rsidRPr="007E0CDE" w:rsidRDefault="00DC4BD5" w:rsidP="007E503C">
            <w:pPr>
              <w:rPr>
                <w:sz w:val="20"/>
                <w:szCs w:val="20"/>
              </w:rPr>
            </w:pPr>
            <w:r w:rsidRPr="007E0CDE">
              <w:rPr>
                <w:sz w:val="20"/>
                <w:szCs w:val="20"/>
              </w:rPr>
              <w:t>Status</w:t>
            </w:r>
          </w:p>
        </w:tc>
        <w:tc>
          <w:tcPr>
            <w:tcW w:w="6695" w:type="dxa"/>
          </w:tcPr>
          <w:p w:rsidR="00DC4BD5" w:rsidRPr="007E0CDE" w:rsidRDefault="00DC4BD5" w:rsidP="007E503C">
            <w:pPr>
              <w:rPr>
                <w:sz w:val="20"/>
                <w:szCs w:val="20"/>
              </w:rPr>
            </w:pPr>
            <w:r w:rsidRPr="007E0CDE">
              <w:rPr>
                <w:sz w:val="20"/>
                <w:szCs w:val="20"/>
              </w:rPr>
              <w:t>Draft</w:t>
            </w:r>
          </w:p>
        </w:tc>
      </w:tr>
    </w:tbl>
    <w:p w:rsidR="00DC4BD5" w:rsidRDefault="00DC4BD5" w:rsidP="00A900F4">
      <w:pPr>
        <w:pStyle w:val="Heading2"/>
      </w:pPr>
      <w:r>
        <w:t>Change Record</w:t>
      </w:r>
    </w:p>
    <w:tbl>
      <w:tblPr>
        <w:tblStyle w:val="LightShading-Accent11"/>
        <w:tblW w:w="0" w:type="auto"/>
        <w:tblLook w:val="0420"/>
      </w:tblPr>
      <w:tblGrid>
        <w:gridCol w:w="1526"/>
        <w:gridCol w:w="1031"/>
        <w:gridCol w:w="1250"/>
        <w:gridCol w:w="5107"/>
      </w:tblGrid>
      <w:tr w:rsidR="00DC4BD5" w:rsidTr="007E503C">
        <w:trPr>
          <w:cnfStyle w:val="100000000000"/>
        </w:trPr>
        <w:tc>
          <w:tcPr>
            <w:tcW w:w="1526" w:type="dxa"/>
          </w:tcPr>
          <w:p w:rsidR="00DC4BD5" w:rsidRPr="007E0CDE" w:rsidRDefault="00DC4BD5" w:rsidP="007E503C">
            <w:pPr>
              <w:rPr>
                <w:sz w:val="20"/>
                <w:szCs w:val="20"/>
              </w:rPr>
            </w:pPr>
            <w:r w:rsidRPr="007E0CDE">
              <w:rPr>
                <w:sz w:val="20"/>
                <w:szCs w:val="20"/>
              </w:rPr>
              <w:t>Date</w:t>
            </w:r>
          </w:p>
        </w:tc>
        <w:tc>
          <w:tcPr>
            <w:tcW w:w="1031" w:type="dxa"/>
          </w:tcPr>
          <w:p w:rsidR="00DC4BD5" w:rsidRPr="007E0CDE" w:rsidRDefault="00DC4BD5" w:rsidP="007E503C">
            <w:pPr>
              <w:rPr>
                <w:sz w:val="20"/>
                <w:szCs w:val="20"/>
              </w:rPr>
            </w:pPr>
            <w:r w:rsidRPr="007E0CDE">
              <w:rPr>
                <w:sz w:val="20"/>
                <w:szCs w:val="20"/>
              </w:rPr>
              <w:t>Author</w:t>
            </w:r>
          </w:p>
        </w:tc>
        <w:tc>
          <w:tcPr>
            <w:tcW w:w="1250" w:type="dxa"/>
          </w:tcPr>
          <w:p w:rsidR="00DC4BD5" w:rsidRPr="007E0CDE" w:rsidRDefault="00DC4BD5" w:rsidP="007E503C">
            <w:pPr>
              <w:rPr>
                <w:sz w:val="20"/>
                <w:szCs w:val="20"/>
              </w:rPr>
            </w:pPr>
            <w:r w:rsidRPr="007E0CDE">
              <w:rPr>
                <w:sz w:val="20"/>
                <w:szCs w:val="20"/>
              </w:rPr>
              <w:t>Version</w:t>
            </w:r>
          </w:p>
        </w:tc>
        <w:tc>
          <w:tcPr>
            <w:tcW w:w="5107" w:type="dxa"/>
          </w:tcPr>
          <w:p w:rsidR="00DC4BD5" w:rsidRPr="007E0CDE" w:rsidRDefault="00DC4BD5" w:rsidP="007E503C">
            <w:pPr>
              <w:rPr>
                <w:sz w:val="20"/>
                <w:szCs w:val="20"/>
              </w:rPr>
            </w:pPr>
            <w:r w:rsidRPr="007E0CDE">
              <w:rPr>
                <w:sz w:val="20"/>
                <w:szCs w:val="20"/>
              </w:rPr>
              <w:t>Change reference</w:t>
            </w:r>
          </w:p>
        </w:tc>
      </w:tr>
      <w:tr w:rsidR="00DC4BD5" w:rsidTr="007E503C">
        <w:trPr>
          <w:cnfStyle w:val="000000100000"/>
        </w:trPr>
        <w:tc>
          <w:tcPr>
            <w:tcW w:w="1526" w:type="dxa"/>
          </w:tcPr>
          <w:p w:rsidR="00DC4BD5" w:rsidRPr="007E0CDE" w:rsidRDefault="00DC4BD5" w:rsidP="009D27EA">
            <w:pPr>
              <w:rPr>
                <w:sz w:val="20"/>
                <w:szCs w:val="20"/>
              </w:rPr>
            </w:pPr>
            <w:r>
              <w:rPr>
                <w:sz w:val="20"/>
                <w:szCs w:val="20"/>
              </w:rPr>
              <w:t>10</w:t>
            </w:r>
            <w:r w:rsidRPr="007E0CDE">
              <w:rPr>
                <w:sz w:val="20"/>
                <w:szCs w:val="20"/>
              </w:rPr>
              <w:t xml:space="preserve"> </w:t>
            </w:r>
            <w:r w:rsidR="009D27EA">
              <w:rPr>
                <w:sz w:val="20"/>
                <w:szCs w:val="20"/>
              </w:rPr>
              <w:t>Jan</w:t>
            </w:r>
          </w:p>
        </w:tc>
        <w:tc>
          <w:tcPr>
            <w:tcW w:w="1031" w:type="dxa"/>
          </w:tcPr>
          <w:p w:rsidR="00DC4BD5" w:rsidRPr="007E0CDE" w:rsidRDefault="00AB3F7D" w:rsidP="00AB3F7D">
            <w:pPr>
              <w:rPr>
                <w:sz w:val="20"/>
                <w:szCs w:val="20"/>
              </w:rPr>
            </w:pPr>
            <w:r w:rsidRPr="00AB3F7D">
              <w:rPr>
                <w:sz w:val="20"/>
                <w:szCs w:val="20"/>
              </w:rPr>
              <w:t>R</w:t>
            </w:r>
            <w:r>
              <w:rPr>
                <w:sz w:val="20"/>
                <w:szCs w:val="20"/>
              </w:rPr>
              <w:t xml:space="preserve"> </w:t>
            </w:r>
            <w:r w:rsidRPr="00AB3F7D">
              <w:rPr>
                <w:sz w:val="20"/>
                <w:szCs w:val="20"/>
              </w:rPr>
              <w:t>Rumian</w:t>
            </w:r>
          </w:p>
        </w:tc>
        <w:tc>
          <w:tcPr>
            <w:tcW w:w="1250" w:type="dxa"/>
          </w:tcPr>
          <w:p w:rsidR="00DC4BD5" w:rsidRPr="007E0CDE" w:rsidRDefault="00DC4BD5" w:rsidP="007E503C">
            <w:pPr>
              <w:rPr>
                <w:sz w:val="20"/>
                <w:szCs w:val="20"/>
              </w:rPr>
            </w:pPr>
            <w:r w:rsidRPr="007E0CDE">
              <w:rPr>
                <w:sz w:val="20"/>
                <w:szCs w:val="20"/>
              </w:rPr>
              <w:t>v0.1</w:t>
            </w:r>
          </w:p>
        </w:tc>
        <w:tc>
          <w:tcPr>
            <w:tcW w:w="5107" w:type="dxa"/>
          </w:tcPr>
          <w:p w:rsidR="00DC4BD5" w:rsidRPr="007E0CDE" w:rsidRDefault="00DC4BD5" w:rsidP="007E503C">
            <w:pPr>
              <w:rPr>
                <w:sz w:val="20"/>
                <w:szCs w:val="20"/>
              </w:rPr>
            </w:pPr>
            <w:r w:rsidRPr="007E0CDE">
              <w:rPr>
                <w:sz w:val="20"/>
                <w:szCs w:val="20"/>
              </w:rPr>
              <w:t>Initial draft for review/discussion</w:t>
            </w:r>
          </w:p>
        </w:tc>
      </w:tr>
      <w:tr w:rsidR="00DC4BD5" w:rsidTr="007E503C">
        <w:tc>
          <w:tcPr>
            <w:tcW w:w="1526" w:type="dxa"/>
          </w:tcPr>
          <w:p w:rsidR="00DC4BD5" w:rsidRPr="007E0CDE" w:rsidRDefault="00DC4BD5" w:rsidP="007E503C">
            <w:pPr>
              <w:rPr>
                <w:sz w:val="20"/>
                <w:szCs w:val="20"/>
              </w:rPr>
            </w:pPr>
          </w:p>
        </w:tc>
        <w:tc>
          <w:tcPr>
            <w:tcW w:w="1031" w:type="dxa"/>
          </w:tcPr>
          <w:p w:rsidR="00DC4BD5" w:rsidRPr="007E0CDE" w:rsidRDefault="00DC4BD5" w:rsidP="007E503C">
            <w:pPr>
              <w:rPr>
                <w:sz w:val="20"/>
                <w:szCs w:val="20"/>
              </w:rPr>
            </w:pPr>
          </w:p>
        </w:tc>
        <w:tc>
          <w:tcPr>
            <w:tcW w:w="1250" w:type="dxa"/>
          </w:tcPr>
          <w:p w:rsidR="00DC4BD5" w:rsidRPr="007E0CDE" w:rsidRDefault="00DC4BD5" w:rsidP="007E503C">
            <w:pPr>
              <w:rPr>
                <w:sz w:val="20"/>
                <w:szCs w:val="20"/>
              </w:rPr>
            </w:pPr>
          </w:p>
        </w:tc>
        <w:tc>
          <w:tcPr>
            <w:tcW w:w="5107" w:type="dxa"/>
          </w:tcPr>
          <w:p w:rsidR="00DC4BD5" w:rsidRPr="007E0CDE" w:rsidRDefault="00DC4BD5" w:rsidP="007E503C">
            <w:pPr>
              <w:rPr>
                <w:sz w:val="20"/>
                <w:szCs w:val="20"/>
              </w:rPr>
            </w:pPr>
          </w:p>
        </w:tc>
      </w:tr>
    </w:tbl>
    <w:p w:rsidR="00DC4BD5" w:rsidRDefault="00DC4BD5" w:rsidP="00A900F4">
      <w:pPr>
        <w:pStyle w:val="Heading2"/>
      </w:pPr>
      <w:r>
        <w:t>Reviewers</w:t>
      </w:r>
    </w:p>
    <w:tbl>
      <w:tblPr>
        <w:tblStyle w:val="LightShading-Accent11"/>
        <w:tblW w:w="0" w:type="auto"/>
        <w:tblLook w:val="0420"/>
      </w:tblPr>
      <w:tblGrid>
        <w:gridCol w:w="1501"/>
        <w:gridCol w:w="1800"/>
        <w:gridCol w:w="4140"/>
        <w:gridCol w:w="1574"/>
      </w:tblGrid>
      <w:tr w:rsidR="00DC4BD5" w:rsidRPr="007E0CDE" w:rsidTr="007E503C">
        <w:trPr>
          <w:cnfStyle w:val="100000000000"/>
        </w:trPr>
        <w:tc>
          <w:tcPr>
            <w:tcW w:w="1501" w:type="dxa"/>
          </w:tcPr>
          <w:p w:rsidR="00DC4BD5" w:rsidRPr="007E0CDE" w:rsidRDefault="00DC4BD5" w:rsidP="007E503C">
            <w:pPr>
              <w:rPr>
                <w:sz w:val="20"/>
                <w:szCs w:val="20"/>
              </w:rPr>
            </w:pPr>
            <w:r w:rsidRPr="007E0CDE">
              <w:rPr>
                <w:sz w:val="20"/>
                <w:szCs w:val="20"/>
              </w:rPr>
              <w:t>Name</w:t>
            </w:r>
          </w:p>
        </w:tc>
        <w:tc>
          <w:tcPr>
            <w:tcW w:w="1800" w:type="dxa"/>
          </w:tcPr>
          <w:p w:rsidR="00DC4BD5" w:rsidRPr="007E0CDE" w:rsidRDefault="00DC4BD5" w:rsidP="00DC4BD5">
            <w:pPr>
              <w:rPr>
                <w:sz w:val="20"/>
                <w:szCs w:val="20"/>
              </w:rPr>
            </w:pPr>
            <w:r w:rsidRPr="007E0CDE">
              <w:rPr>
                <w:sz w:val="20"/>
                <w:szCs w:val="20"/>
              </w:rPr>
              <w:t xml:space="preserve">Version </w:t>
            </w:r>
            <w:r>
              <w:rPr>
                <w:sz w:val="20"/>
                <w:szCs w:val="20"/>
              </w:rPr>
              <w:t>reviewed</w:t>
            </w:r>
          </w:p>
        </w:tc>
        <w:tc>
          <w:tcPr>
            <w:tcW w:w="4140" w:type="dxa"/>
          </w:tcPr>
          <w:p w:rsidR="00DC4BD5" w:rsidRPr="007E0CDE" w:rsidRDefault="00DC4BD5" w:rsidP="007E503C">
            <w:pPr>
              <w:rPr>
                <w:sz w:val="20"/>
                <w:szCs w:val="20"/>
              </w:rPr>
            </w:pPr>
            <w:r w:rsidRPr="007E0CDE">
              <w:rPr>
                <w:sz w:val="20"/>
                <w:szCs w:val="20"/>
              </w:rPr>
              <w:t>Position</w:t>
            </w:r>
          </w:p>
        </w:tc>
        <w:tc>
          <w:tcPr>
            <w:tcW w:w="1574" w:type="dxa"/>
          </w:tcPr>
          <w:p w:rsidR="00DC4BD5" w:rsidRPr="007E0CDE" w:rsidRDefault="00DC4BD5" w:rsidP="007E503C">
            <w:pPr>
              <w:rPr>
                <w:sz w:val="20"/>
                <w:szCs w:val="20"/>
              </w:rPr>
            </w:pPr>
            <w:r w:rsidRPr="007E0CDE">
              <w:rPr>
                <w:sz w:val="20"/>
                <w:szCs w:val="20"/>
              </w:rPr>
              <w:t>Date</w:t>
            </w:r>
          </w:p>
        </w:tc>
      </w:tr>
      <w:tr w:rsidR="00DC4BD5" w:rsidRPr="007E0CDE" w:rsidTr="007E503C">
        <w:trPr>
          <w:cnfStyle w:val="000000100000"/>
        </w:trPr>
        <w:tc>
          <w:tcPr>
            <w:tcW w:w="1501" w:type="dxa"/>
          </w:tcPr>
          <w:p w:rsidR="00DC4BD5" w:rsidRPr="007E0CDE" w:rsidRDefault="00A11851" w:rsidP="007E503C">
            <w:pPr>
              <w:rPr>
                <w:sz w:val="20"/>
                <w:szCs w:val="20"/>
              </w:rPr>
            </w:pPr>
            <w:r>
              <w:rPr>
                <w:sz w:val="20"/>
                <w:szCs w:val="20"/>
              </w:rPr>
              <w:t>J Smith</w:t>
            </w:r>
          </w:p>
        </w:tc>
        <w:tc>
          <w:tcPr>
            <w:tcW w:w="1800" w:type="dxa"/>
          </w:tcPr>
          <w:p w:rsidR="00DC4BD5" w:rsidRPr="007E0CDE" w:rsidRDefault="00DC4BD5" w:rsidP="00DC4BD5">
            <w:pPr>
              <w:rPr>
                <w:sz w:val="20"/>
                <w:szCs w:val="20"/>
              </w:rPr>
            </w:pPr>
            <w:r>
              <w:rPr>
                <w:sz w:val="20"/>
                <w:szCs w:val="20"/>
              </w:rPr>
              <w:t>v</w:t>
            </w:r>
            <w:r w:rsidRPr="007E0CDE">
              <w:rPr>
                <w:sz w:val="20"/>
                <w:szCs w:val="20"/>
              </w:rPr>
              <w:t>0.</w:t>
            </w:r>
            <w:r>
              <w:rPr>
                <w:sz w:val="20"/>
                <w:szCs w:val="20"/>
              </w:rPr>
              <w:t>1</w:t>
            </w:r>
          </w:p>
        </w:tc>
        <w:tc>
          <w:tcPr>
            <w:tcW w:w="4140" w:type="dxa"/>
          </w:tcPr>
          <w:p w:rsidR="00DC4BD5" w:rsidRPr="007E0CDE" w:rsidRDefault="00AB3F7D" w:rsidP="007A15E3">
            <w:pPr>
              <w:rPr>
                <w:sz w:val="20"/>
                <w:szCs w:val="20"/>
              </w:rPr>
            </w:pPr>
            <w:r>
              <w:rPr>
                <w:sz w:val="20"/>
                <w:szCs w:val="20"/>
              </w:rPr>
              <w:t>Pro</w:t>
            </w:r>
            <w:r w:rsidR="007A15E3">
              <w:rPr>
                <w:sz w:val="20"/>
                <w:szCs w:val="20"/>
              </w:rPr>
              <w:t>ject</w:t>
            </w:r>
            <w:r>
              <w:rPr>
                <w:sz w:val="20"/>
                <w:szCs w:val="20"/>
              </w:rPr>
              <w:t xml:space="preserve"> Manager</w:t>
            </w:r>
          </w:p>
        </w:tc>
        <w:tc>
          <w:tcPr>
            <w:tcW w:w="1574" w:type="dxa"/>
          </w:tcPr>
          <w:p w:rsidR="00DC4BD5" w:rsidRPr="007E0CDE" w:rsidRDefault="00DC4BD5" w:rsidP="009D27EA">
            <w:pPr>
              <w:rPr>
                <w:sz w:val="20"/>
                <w:szCs w:val="20"/>
              </w:rPr>
            </w:pPr>
            <w:r w:rsidRPr="007E0CDE">
              <w:rPr>
                <w:sz w:val="20"/>
                <w:szCs w:val="20"/>
              </w:rPr>
              <w:t xml:space="preserve">15 </w:t>
            </w:r>
            <w:r w:rsidR="009D27EA">
              <w:rPr>
                <w:sz w:val="20"/>
                <w:szCs w:val="20"/>
              </w:rPr>
              <w:t>Jan</w:t>
            </w:r>
          </w:p>
        </w:tc>
      </w:tr>
      <w:tr w:rsidR="00DC4BD5" w:rsidRPr="007E0CDE" w:rsidTr="007E503C">
        <w:tc>
          <w:tcPr>
            <w:tcW w:w="1501" w:type="dxa"/>
          </w:tcPr>
          <w:p w:rsidR="00DC4BD5" w:rsidRPr="007E0CDE" w:rsidRDefault="00DC4BD5" w:rsidP="007E503C">
            <w:pPr>
              <w:rPr>
                <w:sz w:val="20"/>
                <w:szCs w:val="20"/>
              </w:rPr>
            </w:pPr>
          </w:p>
        </w:tc>
        <w:tc>
          <w:tcPr>
            <w:tcW w:w="1800" w:type="dxa"/>
          </w:tcPr>
          <w:p w:rsidR="00DC4BD5" w:rsidRPr="007E0CDE" w:rsidRDefault="00DC4BD5" w:rsidP="007E503C">
            <w:pPr>
              <w:rPr>
                <w:sz w:val="20"/>
                <w:szCs w:val="20"/>
              </w:rPr>
            </w:pPr>
          </w:p>
        </w:tc>
        <w:tc>
          <w:tcPr>
            <w:tcW w:w="4140" w:type="dxa"/>
          </w:tcPr>
          <w:p w:rsidR="00DC4BD5" w:rsidRPr="007E0CDE" w:rsidRDefault="00DC4BD5" w:rsidP="007E503C">
            <w:pPr>
              <w:rPr>
                <w:sz w:val="20"/>
                <w:szCs w:val="20"/>
              </w:rPr>
            </w:pPr>
          </w:p>
        </w:tc>
        <w:tc>
          <w:tcPr>
            <w:tcW w:w="1574" w:type="dxa"/>
          </w:tcPr>
          <w:p w:rsidR="00DC4BD5" w:rsidRPr="007E0CDE" w:rsidRDefault="00DC4BD5" w:rsidP="007E503C">
            <w:pPr>
              <w:rPr>
                <w:sz w:val="20"/>
                <w:szCs w:val="20"/>
              </w:rPr>
            </w:pPr>
          </w:p>
        </w:tc>
      </w:tr>
    </w:tbl>
    <w:p w:rsidR="00423F09" w:rsidRDefault="00A571C2" w:rsidP="00423F09">
      <w:pPr>
        <w:pStyle w:val="Heading2"/>
      </w:pPr>
      <w:r>
        <w:t xml:space="preserve">Purpose of </w:t>
      </w:r>
      <w:r w:rsidR="00FB21B5">
        <w:t>T</w:t>
      </w:r>
      <w:r>
        <w:t xml:space="preserve">his </w:t>
      </w:r>
      <w:r w:rsidR="00FB21B5">
        <w:t>D</w:t>
      </w:r>
      <w:r>
        <w:t>ocument</w:t>
      </w:r>
    </w:p>
    <w:p w:rsidR="00423F09" w:rsidRPr="00423F09" w:rsidRDefault="00423F09" w:rsidP="00423F09">
      <w:r>
        <w:t xml:space="preserve">This document contains </w:t>
      </w:r>
      <w:r w:rsidR="00B739C2">
        <w:t xml:space="preserve">summarises the business context and defines the vision </w:t>
      </w:r>
      <w:r>
        <w:t>for the Reach Portal project.</w:t>
      </w:r>
    </w:p>
    <w:p w:rsidR="00A900F4" w:rsidRDefault="00B739C2" w:rsidP="00A900F4">
      <w:pPr>
        <w:pStyle w:val="Heading2"/>
      </w:pPr>
      <w:r>
        <w:t>Business Context</w:t>
      </w:r>
    </w:p>
    <w:p w:rsidR="00904BCB" w:rsidRDefault="00DE5195" w:rsidP="00904BCB">
      <w:r>
        <w:t>Woodgrove Bank</w:t>
      </w:r>
      <w:r w:rsidR="00904BCB" w:rsidRPr="00904BCB">
        <w:t xml:space="preserve"> is a midsize, traditional bank that has acquired a complete range of financial services capabilities through a series of acquisitions. The bank currently has a limited online presence that is fragmented across its various divisions. As part of its expansion strategy, </w:t>
      </w:r>
      <w:r>
        <w:t>Woodgrove Bank</w:t>
      </w:r>
      <w:r w:rsidR="00904BCB" w:rsidRPr="00904BCB">
        <w:t xml:space="preserve"> has decided to innovate in the online banking market by providing a host of value-added services on top of a fully integrated financial management capability. Some banks currently offer, or are developing the capability to offer, integrated online banking across all accounts (such as savings, checking, and credit cards). But no other bank offers a full range of value-added services such as financial advice, financial analysis and planning, and tax planning and filing. In addition, </w:t>
      </w:r>
      <w:r>
        <w:t>Woodgrove Bank</w:t>
      </w:r>
      <w:r w:rsidR="00904BCB" w:rsidRPr="00904BCB">
        <w:t xml:space="preserve"> has not seen the synergies it anticipated from offering a complete line of products. This lack of synergy is caused by its inability to effectively cross-sell based on existing relationships and customer knowledge.</w:t>
      </w:r>
    </w:p>
    <w:p w:rsidR="00B739C2" w:rsidRDefault="00DE5195" w:rsidP="00B739C2">
      <w:r>
        <w:t>Woodgrove Bank</w:t>
      </w:r>
      <w:r w:rsidR="00B739C2">
        <w:t>'s value proposition for online services is to provide an integrated, online financial portal for affluent clients that will enable them to view all their financial assets at once. From this integrated view, clients will be able to seamlessly execute all their financial transactions</w:t>
      </w:r>
      <w:r w:rsidR="00FB21B5">
        <w:t>,</w:t>
      </w:r>
      <w:r w:rsidR="00B739C2">
        <w:t xml:space="preserve"> including those associated with savings and checking accounts, loans, stock trading, domestic and international bill payment</w:t>
      </w:r>
      <w:r w:rsidR="00FB21B5">
        <w:t>,</w:t>
      </w:r>
      <w:r w:rsidR="00B739C2">
        <w:t xml:space="preserve"> and funds transfer. Clients will use this portal to save their most precious commodity: time. Through efficient operations, the bank will be able to offer this capability to clients without irritating service fees for each transaction. </w:t>
      </w:r>
    </w:p>
    <w:p w:rsidR="00267538" w:rsidRDefault="00B739C2">
      <w:r>
        <w:lastRenderedPageBreak/>
        <w:t>In addition to serving affluent clients, the bank will also serve mass market customers with simplified services such as checking, savings, and mortgage origination. Customers will benefit from the intuitive user experience and integration with home mortgage loans and credit cards.</w:t>
      </w:r>
    </w:p>
    <w:p w:rsidR="00423F09" w:rsidRDefault="00423F09" w:rsidP="00423F09">
      <w:pPr>
        <w:pStyle w:val="Heading2"/>
      </w:pPr>
      <w:r>
        <w:t>Vision</w:t>
      </w:r>
    </w:p>
    <w:p w:rsidR="00976363" w:rsidRPr="00067771" w:rsidRDefault="002C609D" w:rsidP="00976363">
      <w:pPr>
        <w:ind w:firstLine="720"/>
        <w:rPr>
          <w:rFonts w:asciiTheme="majorHAnsi" w:eastAsiaTheme="majorEastAsia" w:hAnsiTheme="majorHAnsi" w:cstheme="majorBidi"/>
          <w:color w:val="4F81BD" w:themeColor="accent1"/>
        </w:rPr>
      </w:pPr>
      <w:r>
        <w:t xml:space="preserve"> </w:t>
      </w:r>
      <w:r w:rsidR="00976363">
        <w:t xml:space="preserve">“Always within reach – your space to do everything you </w:t>
      </w:r>
      <w:r w:rsidR="007A5038">
        <w:t>need</w:t>
      </w:r>
      <w:r w:rsidR="00976363">
        <w:t xml:space="preserve"> with your money”</w:t>
      </w:r>
    </w:p>
    <w:p w:rsidR="00067771" w:rsidRDefault="00067771" w:rsidP="00067771">
      <w:r>
        <w:t xml:space="preserve">The </w:t>
      </w:r>
      <w:r w:rsidR="00DE5195">
        <w:t>Woodgrove Bank</w:t>
      </w:r>
      <w:r>
        <w:t xml:space="preserve"> Reach Portal will be an integrated online point of contact for customers to conduct their full relationship with the bank. The portal will offer a range of easy to consume services without the boundaries defined by the internal structure of the </w:t>
      </w:r>
      <w:r w:rsidR="00FB21B5">
        <w:t>b</w:t>
      </w:r>
      <w:r>
        <w:t>ank’s business or that of its partners. Customers will experience smoothly linked services based on scenarios such life events (</w:t>
      </w:r>
      <w:r w:rsidR="00FB21B5">
        <w:t>such as</w:t>
      </w:r>
      <w:r>
        <w:t xml:space="preserve"> starting a business, moving </w:t>
      </w:r>
      <w:r w:rsidR="00FB21B5">
        <w:t xml:space="preserve">to a new </w:t>
      </w:r>
      <w:r>
        <w:t>house, birth of a child, going on a trip) and will be able to use these services with consistent identity and ease of movement of funds.</w:t>
      </w:r>
    </w:p>
    <w:p w:rsidR="00067771" w:rsidRDefault="002C609D" w:rsidP="00472E34">
      <w:pPr>
        <w:pStyle w:val="Heading2"/>
      </w:pPr>
      <w:r>
        <w:t>Goals</w:t>
      </w:r>
    </w:p>
    <w:p w:rsidR="002C609D" w:rsidRDefault="00FF1153" w:rsidP="006A0424">
      <w:r>
        <w:t xml:space="preserve">The project has the following </w:t>
      </w:r>
      <w:r w:rsidR="006A0424">
        <w:t xml:space="preserve">high-level </w:t>
      </w:r>
      <w:r w:rsidR="002C609D">
        <w:t>goals:</w:t>
      </w:r>
    </w:p>
    <w:p w:rsidR="003A59E3" w:rsidRDefault="00FB21B5" w:rsidP="00FF1153">
      <w:pPr>
        <w:pStyle w:val="ListParagraph"/>
        <w:numPr>
          <w:ilvl w:val="0"/>
          <w:numId w:val="2"/>
        </w:numPr>
      </w:pPr>
      <w:r>
        <w:t>The portal will o</w:t>
      </w:r>
      <w:r w:rsidR="002C609D">
        <w:t xml:space="preserve">ffer </w:t>
      </w:r>
      <w:r w:rsidR="003A59E3">
        <w:t xml:space="preserve">a broad range of </w:t>
      </w:r>
      <w:r w:rsidR="00DE5195">
        <w:t>Woodgrove Bank</w:t>
      </w:r>
      <w:r w:rsidR="003A59E3">
        <w:t xml:space="preserve"> services in one place</w:t>
      </w:r>
      <w:r>
        <w:t>.</w:t>
      </w:r>
    </w:p>
    <w:p w:rsidR="00FF1153" w:rsidRDefault="00FB21B5" w:rsidP="00FF1153">
      <w:pPr>
        <w:pStyle w:val="ListParagraph"/>
        <w:numPr>
          <w:ilvl w:val="0"/>
          <w:numId w:val="2"/>
        </w:numPr>
      </w:pPr>
      <w:r>
        <w:t>The portal will b</w:t>
      </w:r>
      <w:r w:rsidR="002C609D">
        <w:t>e s</w:t>
      </w:r>
      <w:r w:rsidR="003A59E3">
        <w:t>uitable</w:t>
      </w:r>
      <w:r w:rsidR="00FF1153">
        <w:t xml:space="preserve"> for mass-market and high value customers</w:t>
      </w:r>
      <w:r>
        <w:t>.</w:t>
      </w:r>
    </w:p>
    <w:p w:rsidR="00FF1153" w:rsidRDefault="00FB21B5" w:rsidP="00FF1153">
      <w:pPr>
        <w:pStyle w:val="ListParagraph"/>
        <w:numPr>
          <w:ilvl w:val="0"/>
          <w:numId w:val="2"/>
        </w:numPr>
      </w:pPr>
      <w:r>
        <w:t>The portal will b</w:t>
      </w:r>
      <w:r w:rsidR="002C609D">
        <w:t>e s</w:t>
      </w:r>
      <w:r w:rsidR="00FF1153">
        <w:t>ecure and easy to use</w:t>
      </w:r>
      <w:r>
        <w:t>.</w:t>
      </w:r>
    </w:p>
    <w:p w:rsidR="00FF1153" w:rsidRDefault="00FB21B5" w:rsidP="00FF1153">
      <w:pPr>
        <w:pStyle w:val="ListParagraph"/>
        <w:numPr>
          <w:ilvl w:val="0"/>
          <w:numId w:val="2"/>
        </w:numPr>
      </w:pPr>
      <w:r>
        <w:t>The portal will u</w:t>
      </w:r>
      <w:r w:rsidR="002C609D">
        <w:t>se a s</w:t>
      </w:r>
      <w:r w:rsidR="00FF1153">
        <w:t xml:space="preserve">ingle </w:t>
      </w:r>
      <w:r w:rsidR="002C609D">
        <w:t xml:space="preserve">managed identity for each customer </w:t>
      </w:r>
      <w:r w:rsidR="00FF1153">
        <w:t>across all services</w:t>
      </w:r>
      <w:r>
        <w:t>.</w:t>
      </w:r>
    </w:p>
    <w:p w:rsidR="002C609D" w:rsidRDefault="00FB21B5" w:rsidP="00FF1153">
      <w:pPr>
        <w:pStyle w:val="ListParagraph"/>
        <w:numPr>
          <w:ilvl w:val="0"/>
          <w:numId w:val="2"/>
        </w:numPr>
      </w:pPr>
      <w:r>
        <w:t>The portal will b</w:t>
      </w:r>
      <w:r w:rsidR="002C609D">
        <w:t>e a p</w:t>
      </w:r>
      <w:r w:rsidR="00FF1153">
        <w:t>latform for future services to be added</w:t>
      </w:r>
      <w:r w:rsidR="002C609D">
        <w:t xml:space="preserve">, including from </w:t>
      </w:r>
      <w:r>
        <w:t>third</w:t>
      </w:r>
      <w:r w:rsidR="002C609D">
        <w:t xml:space="preserve"> parties</w:t>
      </w:r>
      <w:r>
        <w:t>.</w:t>
      </w:r>
    </w:p>
    <w:p w:rsidR="00FF1153" w:rsidRDefault="00FB21B5" w:rsidP="00FF1153">
      <w:pPr>
        <w:pStyle w:val="ListParagraph"/>
        <w:numPr>
          <w:ilvl w:val="0"/>
          <w:numId w:val="2"/>
        </w:numPr>
      </w:pPr>
      <w:r>
        <w:t>The portal will b</w:t>
      </w:r>
      <w:r w:rsidR="002C609D">
        <w:t>e c</w:t>
      </w:r>
      <w:r w:rsidR="00FF1153">
        <w:t>ustomer-focused and predictive, based on real scenarios and life events</w:t>
      </w:r>
      <w:r>
        <w:t>.</w:t>
      </w:r>
    </w:p>
    <w:p w:rsidR="003A59E3" w:rsidRDefault="00FB21B5" w:rsidP="00FF1153">
      <w:pPr>
        <w:pStyle w:val="ListParagraph"/>
        <w:numPr>
          <w:ilvl w:val="0"/>
          <w:numId w:val="2"/>
        </w:numPr>
      </w:pPr>
      <w:r>
        <w:t>The portal will d</w:t>
      </w:r>
      <w:r w:rsidR="002C609D">
        <w:t xml:space="preserve">eliver a personalized </w:t>
      </w:r>
      <w:r w:rsidR="0068560C">
        <w:t xml:space="preserve">experience to </w:t>
      </w:r>
      <w:r w:rsidR="003A59E3">
        <w:t>each customer</w:t>
      </w:r>
      <w:r w:rsidR="0068560C">
        <w:t xml:space="preserve"> – “their banking space”</w:t>
      </w:r>
      <w:r>
        <w:t>.</w:t>
      </w:r>
    </w:p>
    <w:p w:rsidR="008E4467" w:rsidRDefault="00FB21B5" w:rsidP="00FF1153">
      <w:pPr>
        <w:pStyle w:val="ListParagraph"/>
        <w:numPr>
          <w:ilvl w:val="0"/>
          <w:numId w:val="2"/>
        </w:numPr>
      </w:pPr>
      <w:r>
        <w:t>The portal will s</w:t>
      </w:r>
      <w:r w:rsidR="008E4467">
        <w:t xml:space="preserve">horten delivery times for the introduction of services by the re-purposing of existing public </w:t>
      </w:r>
      <w:r>
        <w:t>W</w:t>
      </w:r>
      <w:r w:rsidR="008E4467">
        <w:t xml:space="preserve">eb-based functionality from </w:t>
      </w:r>
      <w:r w:rsidR="00DE5195">
        <w:t>Woodgrove Bank</w:t>
      </w:r>
      <w:r w:rsidR="008E4467">
        <w:t>s’ business divisions</w:t>
      </w:r>
      <w:r>
        <w:t>.</w:t>
      </w:r>
    </w:p>
    <w:p w:rsidR="00067771" w:rsidRDefault="00067771" w:rsidP="002C609D">
      <w:pPr>
        <w:pStyle w:val="Heading2"/>
      </w:pPr>
      <w:r>
        <w:t>Project name</w:t>
      </w:r>
    </w:p>
    <w:p w:rsidR="00F77470" w:rsidRDefault="00067771" w:rsidP="00067771">
      <w:r>
        <w:t xml:space="preserve">The Retail Banking Division of </w:t>
      </w:r>
      <w:r w:rsidR="00DE5195">
        <w:t>Woodgrove Bank</w:t>
      </w:r>
      <w:r>
        <w:t xml:space="preserve"> is sponsoring this in</w:t>
      </w:r>
      <w:r w:rsidR="00F77470">
        <w:t>itiative</w:t>
      </w:r>
      <w:r w:rsidR="00FB21B5">
        <w:t>,</w:t>
      </w:r>
      <w:r w:rsidR="00F77470">
        <w:t xml:space="preserve"> which will be known as</w:t>
      </w:r>
      <w:r w:rsidR="00FB21B5">
        <w:t>:</w:t>
      </w:r>
    </w:p>
    <w:p w:rsidR="003A59E3" w:rsidRDefault="00067771" w:rsidP="00EA4151">
      <w:pPr>
        <w:jc w:val="center"/>
        <w:rPr>
          <w:sz w:val="32"/>
        </w:rPr>
      </w:pPr>
      <w:r w:rsidRPr="00F77470">
        <w:rPr>
          <w:sz w:val="32"/>
        </w:rPr>
        <w:t xml:space="preserve">the Reach </w:t>
      </w:r>
      <w:r w:rsidR="00FC5E21">
        <w:rPr>
          <w:sz w:val="32"/>
        </w:rPr>
        <w:t>P</w:t>
      </w:r>
      <w:r w:rsidR="00F77470">
        <w:rPr>
          <w:sz w:val="32"/>
        </w:rPr>
        <w:t xml:space="preserve">ortal </w:t>
      </w:r>
      <w:r w:rsidRPr="00F77470">
        <w:rPr>
          <w:sz w:val="32"/>
        </w:rPr>
        <w:t>project</w:t>
      </w:r>
    </w:p>
    <w:p w:rsidR="00EA4151" w:rsidRPr="00F77470" w:rsidRDefault="00FB21B5" w:rsidP="00EA4151">
      <w:r>
        <w:t xml:space="preserve">It </w:t>
      </w:r>
      <w:r w:rsidR="00EA4151">
        <w:t>will be known by the mnemonic, RPP.</w:t>
      </w:r>
    </w:p>
    <w:p w:rsidR="00067771" w:rsidRDefault="00067771" w:rsidP="00067771">
      <w:r>
        <w:t xml:space="preserve">This </w:t>
      </w:r>
      <w:r w:rsidR="002C609D">
        <w:t>project will</w:t>
      </w:r>
      <w:r w:rsidR="00895AEB">
        <w:t xml:space="preserve"> </w:t>
      </w:r>
      <w:r w:rsidR="00B739C2">
        <w:t xml:space="preserve">be </w:t>
      </w:r>
      <w:r w:rsidR="00895AEB">
        <w:t xml:space="preserve">associated </w:t>
      </w:r>
      <w:r>
        <w:t xml:space="preserve">with the </w:t>
      </w:r>
      <w:r w:rsidR="003A59E3">
        <w:t xml:space="preserve">current </w:t>
      </w:r>
      <w:r>
        <w:t xml:space="preserve">marketing messages delivered by </w:t>
      </w:r>
      <w:r w:rsidR="00DE5195">
        <w:t>Woodgrove Bank</w:t>
      </w:r>
      <w:r>
        <w:t xml:space="preserve"> to impress on </w:t>
      </w:r>
      <w:r w:rsidR="00F77470">
        <w:t xml:space="preserve">external </w:t>
      </w:r>
      <w:r w:rsidR="004503BA">
        <w:t xml:space="preserve">customers the concepts </w:t>
      </w:r>
      <w:r>
        <w:t>of accessibility, speed, relevance</w:t>
      </w:r>
      <w:r w:rsidR="00F77470">
        <w:t>,</w:t>
      </w:r>
      <w:r>
        <w:t xml:space="preserve"> and </w:t>
      </w:r>
      <w:r w:rsidR="00895AEB">
        <w:t>breadth</w:t>
      </w:r>
      <w:r>
        <w:t xml:space="preserve"> of services. The corresponding marketing themes which are </w:t>
      </w:r>
      <w:r w:rsidR="00895AEB">
        <w:t>related</w:t>
      </w:r>
      <w:r>
        <w:t xml:space="preserve"> to this project are as follows:</w:t>
      </w:r>
    </w:p>
    <w:p w:rsidR="00364C69" w:rsidRDefault="004503BA" w:rsidP="00364C69">
      <w:pPr>
        <w:ind w:left="720"/>
      </w:pPr>
      <w:r>
        <w:t>“Expand your r</w:t>
      </w:r>
      <w:r w:rsidR="00067771">
        <w:t>each –</w:t>
      </w:r>
      <w:r w:rsidR="00D4755B">
        <w:t xml:space="preserve"> </w:t>
      </w:r>
      <w:r w:rsidR="00067771">
        <w:t>go miles further with your bank”</w:t>
      </w:r>
      <w:r w:rsidR="00067771">
        <w:br/>
        <w:t xml:space="preserve">“Reach out – for what you want. So much more than </w:t>
      </w:r>
      <w:r w:rsidR="00D4755B">
        <w:t xml:space="preserve">a </w:t>
      </w:r>
      <w:r w:rsidR="00067771">
        <w:t>bank”</w:t>
      </w:r>
      <w:r w:rsidR="00067771">
        <w:br/>
        <w:t xml:space="preserve">“Reach for what you need – no </w:t>
      </w:r>
      <w:r w:rsidR="00FB21B5">
        <w:t>waiting in lines</w:t>
      </w:r>
      <w:r w:rsidR="00067771">
        <w:t>, any time of the day or night”</w:t>
      </w:r>
    </w:p>
    <w:p w:rsidR="00364C69" w:rsidRDefault="00364C69" w:rsidP="00364C69">
      <w:pPr>
        <w:pStyle w:val="Heading2"/>
      </w:pPr>
      <w:r>
        <w:lastRenderedPageBreak/>
        <w:t>Scope</w:t>
      </w:r>
    </w:p>
    <w:p w:rsidR="00D92F0D" w:rsidRDefault="00D92F0D" w:rsidP="00D92F0D">
      <w:pPr>
        <w:pStyle w:val="Heading3"/>
      </w:pPr>
      <w:r>
        <w:t>Minimum Satisfiers</w:t>
      </w:r>
    </w:p>
    <w:p w:rsidR="00D92F0D" w:rsidRDefault="00D92F0D" w:rsidP="00D92F0D">
      <w:r>
        <w:t>This section lists the minimum functional requirements that must be delivered by the Reach project. As a minimum satisfier level (using the Kano model), stakeholders expect to see an integrated set of offerings through one portal, covering the following:</w:t>
      </w:r>
    </w:p>
    <w:p w:rsidR="00D92F0D" w:rsidRDefault="00D92F0D" w:rsidP="00D92F0D">
      <w:pPr>
        <w:pStyle w:val="ListParagraph"/>
        <w:numPr>
          <w:ilvl w:val="0"/>
          <w:numId w:val="3"/>
        </w:numPr>
      </w:pPr>
      <w:r>
        <w:t xml:space="preserve">Mortgage </w:t>
      </w:r>
      <w:r w:rsidR="00FB21B5">
        <w:t>and</w:t>
      </w:r>
      <w:r>
        <w:t xml:space="preserve"> lending services</w:t>
      </w:r>
      <w:r w:rsidR="00FB21B5">
        <w:t>,</w:t>
      </w:r>
      <w:r>
        <w:t xml:space="preserve"> including online application submission</w:t>
      </w:r>
      <w:r w:rsidR="00FB21B5">
        <w:t>.</w:t>
      </w:r>
    </w:p>
    <w:p w:rsidR="00D92F0D" w:rsidRDefault="00D92F0D" w:rsidP="00D92F0D">
      <w:pPr>
        <w:pStyle w:val="ListParagraph"/>
        <w:numPr>
          <w:ilvl w:val="0"/>
          <w:numId w:val="3"/>
        </w:numPr>
      </w:pPr>
      <w:r>
        <w:t>Foreign currency services</w:t>
      </w:r>
      <w:r w:rsidR="00FB21B5">
        <w:t>,</w:t>
      </w:r>
      <w:r>
        <w:t xml:space="preserve"> including online wire transfer </w:t>
      </w:r>
      <w:r w:rsidR="00FB21B5">
        <w:t>and</w:t>
      </w:r>
      <w:r>
        <w:t xml:space="preserve"> ordering of currency</w:t>
      </w:r>
      <w:r w:rsidR="00FB21B5">
        <w:t>.</w:t>
      </w:r>
    </w:p>
    <w:p w:rsidR="00D92F0D" w:rsidRDefault="00D92F0D" w:rsidP="00D92F0D">
      <w:pPr>
        <w:pStyle w:val="ListParagraph"/>
        <w:numPr>
          <w:ilvl w:val="0"/>
          <w:numId w:val="3"/>
        </w:numPr>
      </w:pPr>
      <w:r>
        <w:t>Stock services</w:t>
      </w:r>
      <w:r w:rsidR="00FB21B5">
        <w:t>,</w:t>
      </w:r>
      <w:r>
        <w:t xml:space="preserve"> including placing orders</w:t>
      </w:r>
      <w:r w:rsidR="00FB21B5">
        <w:t>.</w:t>
      </w:r>
    </w:p>
    <w:p w:rsidR="00D92F0D" w:rsidRDefault="00D92F0D" w:rsidP="00D92F0D">
      <w:pPr>
        <w:pStyle w:val="ListParagraph"/>
        <w:numPr>
          <w:ilvl w:val="0"/>
          <w:numId w:val="3"/>
        </w:numPr>
      </w:pPr>
      <w:r>
        <w:t>Checking services</w:t>
      </w:r>
      <w:r w:rsidR="00FB21B5">
        <w:t>,</w:t>
      </w:r>
      <w:r>
        <w:t xml:space="preserve"> including bill presentment, domestic funds transfers</w:t>
      </w:r>
      <w:r w:rsidR="00FB21B5">
        <w:t>,</w:t>
      </w:r>
      <w:r>
        <w:t xml:space="preserve"> and balances</w:t>
      </w:r>
      <w:r w:rsidR="00FB21B5">
        <w:t>.</w:t>
      </w:r>
    </w:p>
    <w:p w:rsidR="00D92F0D" w:rsidRDefault="00D92F0D" w:rsidP="00D92F0D">
      <w:pPr>
        <w:pStyle w:val="ListParagraph"/>
        <w:numPr>
          <w:ilvl w:val="0"/>
          <w:numId w:val="3"/>
        </w:numPr>
      </w:pPr>
      <w:r>
        <w:t>Free services</w:t>
      </w:r>
      <w:r w:rsidR="00FB21B5">
        <w:t>,</w:t>
      </w:r>
      <w:r>
        <w:t xml:space="preserve"> including budgeting </w:t>
      </w:r>
      <w:r w:rsidR="00FB21B5">
        <w:t>and</w:t>
      </w:r>
      <w:r>
        <w:t xml:space="preserve"> planning tools, 401 calculators, on demand tax summary statements, </w:t>
      </w:r>
      <w:r w:rsidR="00FB21B5">
        <w:t>and so on</w:t>
      </w:r>
      <w:r>
        <w:t>.</w:t>
      </w:r>
    </w:p>
    <w:p w:rsidR="00364C69" w:rsidRDefault="00364C69" w:rsidP="00364C69">
      <w:pPr>
        <w:pStyle w:val="Heading3"/>
      </w:pPr>
      <w:r>
        <w:t>High-</w:t>
      </w:r>
      <w:r w:rsidR="00FB21B5">
        <w:t>L</w:t>
      </w:r>
      <w:r>
        <w:t>evel Feature Set</w:t>
      </w:r>
    </w:p>
    <w:p w:rsidR="00D92F0D" w:rsidRPr="00D92F0D" w:rsidRDefault="00D92F0D" w:rsidP="00D92F0D">
      <w:r>
        <w:t xml:space="preserve">The following represent the major feature areas to be implemented by the project. Significant pieces of this </w:t>
      </w:r>
      <w:r w:rsidR="0063391E">
        <w:t>W</w:t>
      </w:r>
      <w:r>
        <w:t xml:space="preserve">eb functionality are already operational today but in a non-integrated or unlinked form. A major focus of the project will be to repurpose and combine this functionality into one user-friendly </w:t>
      </w:r>
      <w:r w:rsidR="0063391E">
        <w:t>W</w:t>
      </w:r>
      <w:r>
        <w:t xml:space="preserve">eb banking platform for our </w:t>
      </w:r>
      <w:r w:rsidR="00FC5E21">
        <w:t>customers.</w:t>
      </w:r>
    </w:p>
    <w:tbl>
      <w:tblPr>
        <w:tblStyle w:val="LightShading-Accent1"/>
        <w:tblW w:w="0" w:type="auto"/>
        <w:tblLook w:val="04A0"/>
      </w:tblPr>
      <w:tblGrid>
        <w:gridCol w:w="1384"/>
        <w:gridCol w:w="2268"/>
        <w:gridCol w:w="5590"/>
      </w:tblGrid>
      <w:tr w:rsidR="00CC528D" w:rsidRPr="00CC528D" w:rsidTr="00D92F0D">
        <w:trPr>
          <w:cnfStyle w:val="100000000000"/>
        </w:trPr>
        <w:tc>
          <w:tcPr>
            <w:cnfStyle w:val="001000000000"/>
            <w:tcW w:w="1384" w:type="dxa"/>
          </w:tcPr>
          <w:p w:rsidR="00CC528D" w:rsidRPr="00CC528D" w:rsidRDefault="00CC528D" w:rsidP="007E503C">
            <w:r w:rsidRPr="00CC528D">
              <w:t>Iteration</w:t>
            </w:r>
          </w:p>
        </w:tc>
        <w:tc>
          <w:tcPr>
            <w:tcW w:w="2268" w:type="dxa"/>
          </w:tcPr>
          <w:p w:rsidR="00CC528D" w:rsidRPr="00CC528D" w:rsidRDefault="00CC528D" w:rsidP="007E503C">
            <w:pPr>
              <w:cnfStyle w:val="100000000000"/>
            </w:pPr>
            <w:r>
              <w:t>Timeframe</w:t>
            </w:r>
          </w:p>
        </w:tc>
        <w:tc>
          <w:tcPr>
            <w:tcW w:w="5590" w:type="dxa"/>
          </w:tcPr>
          <w:p w:rsidR="00CC528D" w:rsidRPr="00CC528D" w:rsidRDefault="00CC528D" w:rsidP="0063391E">
            <w:pPr>
              <w:cnfStyle w:val="100000000000"/>
            </w:pPr>
            <w:r w:rsidRPr="00CC528D">
              <w:t xml:space="preserve">Major </w:t>
            </w:r>
            <w:r w:rsidR="0063391E">
              <w:t>f</w:t>
            </w:r>
            <w:r w:rsidRPr="00CC528D">
              <w:t>eature</w:t>
            </w:r>
            <w:r w:rsidR="00D92F0D">
              <w:t xml:space="preserve"> </w:t>
            </w:r>
            <w:r w:rsidR="0063391E">
              <w:t>a</w:t>
            </w:r>
            <w:r w:rsidR="00D92F0D">
              <w:t>rea</w:t>
            </w:r>
          </w:p>
        </w:tc>
      </w:tr>
      <w:tr w:rsidR="00CC528D" w:rsidRPr="007E503C" w:rsidTr="00D92F0D">
        <w:trPr>
          <w:cnfStyle w:val="000000100000"/>
        </w:trPr>
        <w:tc>
          <w:tcPr>
            <w:cnfStyle w:val="001000000000"/>
            <w:tcW w:w="1384" w:type="dxa"/>
          </w:tcPr>
          <w:p w:rsidR="00CC528D" w:rsidRPr="007E503C" w:rsidRDefault="00CC528D" w:rsidP="007E503C">
            <w:r w:rsidRPr="007E503C">
              <w:t>Iteration 1</w:t>
            </w:r>
          </w:p>
        </w:tc>
        <w:tc>
          <w:tcPr>
            <w:tcW w:w="2268" w:type="dxa"/>
          </w:tcPr>
          <w:p w:rsidR="00CC528D" w:rsidRPr="007E503C" w:rsidRDefault="00D92F0D" w:rsidP="007E503C">
            <w:pPr>
              <w:cnfStyle w:val="000000100000"/>
              <w:rPr>
                <w:b/>
              </w:rPr>
            </w:pPr>
            <w:r w:rsidRPr="007E503C">
              <w:rPr>
                <w:b/>
              </w:rPr>
              <w:t>February-April</w:t>
            </w:r>
          </w:p>
        </w:tc>
        <w:tc>
          <w:tcPr>
            <w:tcW w:w="5590" w:type="dxa"/>
          </w:tcPr>
          <w:p w:rsidR="00CC528D" w:rsidRPr="007E503C" w:rsidRDefault="00D92F0D" w:rsidP="00D92F0D">
            <w:pPr>
              <w:cnfStyle w:val="000000100000"/>
              <w:rPr>
                <w:b/>
              </w:rPr>
            </w:pPr>
            <w:r w:rsidRPr="007E503C">
              <w:rPr>
                <w:b/>
              </w:rPr>
              <w:t>Implement b</w:t>
            </w:r>
            <w:r w:rsidR="00CC528D" w:rsidRPr="007E503C">
              <w:rPr>
                <w:b/>
              </w:rPr>
              <w:t xml:space="preserve">ill </w:t>
            </w:r>
            <w:r w:rsidR="00FC5E21" w:rsidRPr="007E503C">
              <w:rPr>
                <w:b/>
              </w:rPr>
              <w:t xml:space="preserve">presentment </w:t>
            </w:r>
            <w:r w:rsidR="0063391E">
              <w:rPr>
                <w:b/>
              </w:rPr>
              <w:t>and</w:t>
            </w:r>
            <w:r w:rsidR="00FC5E21" w:rsidRPr="007E503C">
              <w:rPr>
                <w:b/>
              </w:rPr>
              <w:t xml:space="preserve"> </w:t>
            </w:r>
            <w:r w:rsidR="00CC528D" w:rsidRPr="007E503C">
              <w:rPr>
                <w:b/>
              </w:rPr>
              <w:t>payment service</w:t>
            </w:r>
          </w:p>
          <w:p w:rsidR="00D92F0D" w:rsidRPr="007E503C" w:rsidRDefault="00D92F0D" w:rsidP="00D92F0D">
            <w:pPr>
              <w:cnfStyle w:val="000000100000"/>
              <w:rPr>
                <w:b/>
              </w:rPr>
            </w:pPr>
          </w:p>
        </w:tc>
      </w:tr>
      <w:tr w:rsidR="00CC528D" w:rsidRPr="00CC528D" w:rsidTr="00D92F0D">
        <w:tc>
          <w:tcPr>
            <w:cnfStyle w:val="001000000000"/>
            <w:tcW w:w="1384" w:type="dxa"/>
          </w:tcPr>
          <w:p w:rsidR="00CC528D" w:rsidRDefault="00CC528D" w:rsidP="007E503C">
            <w:r>
              <w:t>Iteration 2</w:t>
            </w:r>
          </w:p>
        </w:tc>
        <w:tc>
          <w:tcPr>
            <w:tcW w:w="2268" w:type="dxa"/>
          </w:tcPr>
          <w:p w:rsidR="00CC528D" w:rsidRPr="00CC528D" w:rsidRDefault="00D92F0D" w:rsidP="007E503C">
            <w:pPr>
              <w:cnfStyle w:val="000000000000"/>
            </w:pPr>
            <w:r>
              <w:t>April-June</w:t>
            </w:r>
          </w:p>
        </w:tc>
        <w:tc>
          <w:tcPr>
            <w:tcW w:w="5590" w:type="dxa"/>
          </w:tcPr>
          <w:p w:rsidR="00CC528D" w:rsidRDefault="00CC528D" w:rsidP="007E503C">
            <w:pPr>
              <w:cnfStyle w:val="000000000000"/>
            </w:pPr>
            <w:r>
              <w:t xml:space="preserve">Extend </w:t>
            </w:r>
            <w:r w:rsidR="007E503C">
              <w:t xml:space="preserve">the </w:t>
            </w:r>
            <w:r>
              <w:t>existing checking, balance</w:t>
            </w:r>
            <w:r w:rsidR="0063391E">
              <w:t>,</w:t>
            </w:r>
            <w:r>
              <w:t xml:space="preserve"> </w:t>
            </w:r>
            <w:r w:rsidR="0063391E">
              <w:t>and</w:t>
            </w:r>
            <w:r>
              <w:t xml:space="preserve"> transfer services </w:t>
            </w:r>
          </w:p>
          <w:p w:rsidR="00D92F0D" w:rsidRPr="00CC528D" w:rsidRDefault="00D92F0D" w:rsidP="007E503C">
            <w:pPr>
              <w:cnfStyle w:val="000000000000"/>
            </w:pPr>
          </w:p>
        </w:tc>
      </w:tr>
      <w:tr w:rsidR="00CC528D" w:rsidRPr="00CC528D" w:rsidTr="00D92F0D">
        <w:trPr>
          <w:cnfStyle w:val="000000100000"/>
        </w:trPr>
        <w:tc>
          <w:tcPr>
            <w:cnfStyle w:val="001000000000"/>
            <w:tcW w:w="1384" w:type="dxa"/>
          </w:tcPr>
          <w:p w:rsidR="00CC528D" w:rsidRDefault="00CC528D" w:rsidP="007E503C">
            <w:r>
              <w:t>Iteration 3</w:t>
            </w:r>
          </w:p>
        </w:tc>
        <w:tc>
          <w:tcPr>
            <w:tcW w:w="2268" w:type="dxa"/>
          </w:tcPr>
          <w:p w:rsidR="00CC528D" w:rsidRPr="00CC528D" w:rsidRDefault="00D92F0D" w:rsidP="007E503C">
            <w:pPr>
              <w:cnfStyle w:val="000000100000"/>
            </w:pPr>
            <w:r>
              <w:t>June-August</w:t>
            </w:r>
          </w:p>
        </w:tc>
        <w:tc>
          <w:tcPr>
            <w:tcW w:w="5590" w:type="dxa"/>
          </w:tcPr>
          <w:p w:rsidR="00CC528D" w:rsidRDefault="00D92F0D" w:rsidP="007E503C">
            <w:pPr>
              <w:cnfStyle w:val="000000100000"/>
            </w:pPr>
            <w:r>
              <w:t>Integrate m</w:t>
            </w:r>
            <w:r w:rsidR="00CC528D">
              <w:t xml:space="preserve">ortgages – calculator </w:t>
            </w:r>
            <w:r w:rsidR="0063391E">
              <w:t>and</w:t>
            </w:r>
            <w:r w:rsidR="00CC528D">
              <w:t xml:space="preserve"> applications online</w:t>
            </w:r>
          </w:p>
          <w:p w:rsidR="00D92F0D" w:rsidRDefault="00D92F0D" w:rsidP="007E503C">
            <w:pPr>
              <w:cnfStyle w:val="000000100000"/>
            </w:pPr>
          </w:p>
        </w:tc>
      </w:tr>
      <w:tr w:rsidR="00CC528D" w:rsidRPr="00CC528D" w:rsidTr="00D92F0D">
        <w:tc>
          <w:tcPr>
            <w:cnfStyle w:val="001000000000"/>
            <w:tcW w:w="1384" w:type="dxa"/>
          </w:tcPr>
          <w:p w:rsidR="00CC528D" w:rsidRDefault="00CC528D" w:rsidP="007E503C">
            <w:r>
              <w:t>Iteration 4</w:t>
            </w:r>
          </w:p>
        </w:tc>
        <w:tc>
          <w:tcPr>
            <w:tcW w:w="2268" w:type="dxa"/>
          </w:tcPr>
          <w:p w:rsidR="00CC528D" w:rsidRPr="00CC528D" w:rsidRDefault="00D92F0D" w:rsidP="007E503C">
            <w:pPr>
              <w:cnfStyle w:val="000000000000"/>
            </w:pPr>
            <w:r>
              <w:t>August-October</w:t>
            </w:r>
          </w:p>
        </w:tc>
        <w:tc>
          <w:tcPr>
            <w:tcW w:w="5590" w:type="dxa"/>
          </w:tcPr>
          <w:p w:rsidR="00CC528D" w:rsidRDefault="00CC528D" w:rsidP="007E503C">
            <w:pPr>
              <w:cnfStyle w:val="000000000000"/>
            </w:pPr>
            <w:r>
              <w:t xml:space="preserve">Online currency ordering </w:t>
            </w:r>
            <w:r w:rsidR="0063391E">
              <w:t>and</w:t>
            </w:r>
            <w:r>
              <w:t xml:space="preserve"> wire transfers</w:t>
            </w:r>
          </w:p>
          <w:p w:rsidR="00D92F0D" w:rsidRDefault="00D92F0D" w:rsidP="007E503C">
            <w:pPr>
              <w:cnfStyle w:val="000000000000"/>
            </w:pPr>
          </w:p>
        </w:tc>
      </w:tr>
      <w:tr w:rsidR="00CC528D" w:rsidRPr="00CC528D" w:rsidTr="00D92F0D">
        <w:trPr>
          <w:cnfStyle w:val="000000100000"/>
        </w:trPr>
        <w:tc>
          <w:tcPr>
            <w:cnfStyle w:val="001000000000"/>
            <w:tcW w:w="1384" w:type="dxa"/>
          </w:tcPr>
          <w:p w:rsidR="00CC528D" w:rsidRDefault="00CC528D" w:rsidP="007E503C">
            <w:r>
              <w:t>Iteration 5</w:t>
            </w:r>
          </w:p>
        </w:tc>
        <w:tc>
          <w:tcPr>
            <w:tcW w:w="2268" w:type="dxa"/>
          </w:tcPr>
          <w:p w:rsidR="00CC528D" w:rsidRPr="00CC528D" w:rsidRDefault="00D92F0D" w:rsidP="007E503C">
            <w:pPr>
              <w:cnfStyle w:val="000000100000"/>
            </w:pPr>
            <w:r>
              <w:t>October-December</w:t>
            </w:r>
          </w:p>
        </w:tc>
        <w:tc>
          <w:tcPr>
            <w:tcW w:w="5590" w:type="dxa"/>
          </w:tcPr>
          <w:p w:rsidR="00CC528D" w:rsidRDefault="00D92F0D" w:rsidP="007E503C">
            <w:pPr>
              <w:cnfStyle w:val="000000100000"/>
            </w:pPr>
            <w:r>
              <w:t xml:space="preserve">Integrate existing </w:t>
            </w:r>
            <w:r w:rsidR="0063391E">
              <w:t>s</w:t>
            </w:r>
            <w:r>
              <w:t xml:space="preserve">ecurities and </w:t>
            </w:r>
            <w:r w:rsidR="0063391E">
              <w:t>m</w:t>
            </w:r>
            <w:r>
              <w:t xml:space="preserve">utual </w:t>
            </w:r>
            <w:r w:rsidR="0063391E">
              <w:t>f</w:t>
            </w:r>
            <w:r>
              <w:t>unds services</w:t>
            </w:r>
          </w:p>
          <w:p w:rsidR="00D92F0D" w:rsidRDefault="00D92F0D" w:rsidP="007E503C">
            <w:pPr>
              <w:cnfStyle w:val="000000100000"/>
            </w:pPr>
          </w:p>
        </w:tc>
      </w:tr>
    </w:tbl>
    <w:p w:rsidR="007E503C" w:rsidRDefault="007E503C" w:rsidP="007E503C">
      <w:pPr>
        <w:pStyle w:val="Heading3"/>
      </w:pPr>
      <w:r>
        <w:t>Iteration 1: Bill Presentment and Payment Service</w:t>
      </w:r>
    </w:p>
    <w:p w:rsidR="00953931" w:rsidRDefault="00953931" w:rsidP="00953931">
      <w:r>
        <w:t>A critical success factor for Woodgrove Bank to attract and retain new customers is the success of their new online bill payment service. Studies show that as customers successfully use online bill payment (which is the next logical service after basic online savings and checking services)</w:t>
      </w:r>
      <w:r w:rsidR="001403DF">
        <w:t>,</w:t>
      </w:r>
      <w:r>
        <w:t xml:space="preserve"> they are more likely to explore and use additional value-added services</w:t>
      </w:r>
      <w:r w:rsidR="001548DE">
        <w:t>,</w:t>
      </w:r>
      <w:r>
        <w:t xml:space="preserve"> such as mortgage offerings.</w:t>
      </w:r>
    </w:p>
    <w:p w:rsidR="007E503C" w:rsidRPr="007E503C" w:rsidRDefault="00953931" w:rsidP="00953931">
      <w:r>
        <w:t xml:space="preserve">The first iteration of the </w:t>
      </w:r>
      <w:r w:rsidR="00A571C2">
        <w:t xml:space="preserve">Reach Portal </w:t>
      </w:r>
      <w:r>
        <w:t xml:space="preserve">project must </w:t>
      </w:r>
      <w:r w:rsidR="001548DE">
        <w:t xml:space="preserve">deliver a robust online bill payment service </w:t>
      </w:r>
      <w:r w:rsidR="001403DF">
        <w:t xml:space="preserve">that </w:t>
      </w:r>
      <w:r w:rsidR="001548DE">
        <w:t xml:space="preserve">can integrate with future </w:t>
      </w:r>
      <w:r>
        <w:t xml:space="preserve">value-added services </w:t>
      </w:r>
      <w:r w:rsidR="001548DE">
        <w:t xml:space="preserve">in the portal, </w:t>
      </w:r>
      <w:r>
        <w:t xml:space="preserve">to give the customer the best experience. In addition, </w:t>
      </w:r>
      <w:r w:rsidR="001548DE">
        <w:t xml:space="preserve">the first iteration must achieve </w:t>
      </w:r>
      <w:r>
        <w:t xml:space="preserve">a streamlined </w:t>
      </w:r>
      <w:r w:rsidR="001548DE">
        <w:t>process</w:t>
      </w:r>
      <w:r>
        <w:t xml:space="preserve"> for the subscription management of billers so that operational costs are kept under control.</w:t>
      </w:r>
    </w:p>
    <w:p w:rsidR="00364C69" w:rsidRDefault="00364C69" w:rsidP="00472E34">
      <w:pPr>
        <w:pStyle w:val="Heading2"/>
      </w:pPr>
      <w:r>
        <w:t xml:space="preserve">Future </w:t>
      </w:r>
      <w:r w:rsidR="00D92F0D">
        <w:t>F</w:t>
      </w:r>
      <w:r>
        <w:t>unctionality</w:t>
      </w:r>
    </w:p>
    <w:p w:rsidR="00FC5E21" w:rsidRDefault="001403DF" w:rsidP="00364C69">
      <w:r>
        <w:t>In the</w:t>
      </w:r>
      <w:r w:rsidR="00364C69">
        <w:t xml:space="preserve"> future</w:t>
      </w:r>
      <w:r w:rsidR="00FC5E21">
        <w:t xml:space="preserve"> (</w:t>
      </w:r>
      <w:r>
        <w:t xml:space="preserve">that is, </w:t>
      </w:r>
      <w:r w:rsidR="00FC5E21">
        <w:t>beyond iteration 5)</w:t>
      </w:r>
      <w:r>
        <w:t>,</w:t>
      </w:r>
      <w:r w:rsidR="00364C69">
        <w:t xml:space="preserve"> </w:t>
      </w:r>
      <w:r w:rsidR="00D92F0D">
        <w:t xml:space="preserve">it is anticipated </w:t>
      </w:r>
      <w:r w:rsidR="00364C69">
        <w:t xml:space="preserve">the Portal will </w:t>
      </w:r>
      <w:r w:rsidR="00D92F0D">
        <w:t xml:space="preserve">be extended </w:t>
      </w:r>
      <w:r w:rsidR="00364C69">
        <w:t>to offer live notification services (</w:t>
      </w:r>
      <w:r>
        <w:t>such as</w:t>
      </w:r>
      <w:r w:rsidR="00364C69">
        <w:t xml:space="preserve"> bills paid, stock prices, </w:t>
      </w:r>
      <w:r>
        <w:t xml:space="preserve">and </w:t>
      </w:r>
      <w:r w:rsidR="00364C69">
        <w:t>checks received), automated advice services (</w:t>
      </w:r>
      <w:r>
        <w:t>such as</w:t>
      </w:r>
      <w:r w:rsidR="00364C69">
        <w:t xml:space="preserve"> personalized suggestions for investment or tax), portfolio review and relationship services (for high value customers), and money management services.</w:t>
      </w:r>
      <w:r w:rsidR="00D92F0D">
        <w:t xml:space="preserve"> In addition, relevant </w:t>
      </w:r>
      <w:r>
        <w:t>third-</w:t>
      </w:r>
      <w:r w:rsidR="00D92F0D">
        <w:t xml:space="preserve">party </w:t>
      </w:r>
      <w:r w:rsidR="00D92F0D">
        <w:lastRenderedPageBreak/>
        <w:t xml:space="preserve">products and services may be offered to customers through the use of an extensible </w:t>
      </w:r>
      <w:r>
        <w:t>"</w:t>
      </w:r>
      <w:r w:rsidR="00FC5E21">
        <w:t>dashboard</w:t>
      </w:r>
      <w:r>
        <w:t>"</w:t>
      </w:r>
      <w:r w:rsidR="00FC5E21">
        <w:t xml:space="preserve"> design</w:t>
      </w:r>
      <w:r w:rsidR="00D92F0D">
        <w:t>.</w:t>
      </w:r>
    </w:p>
    <w:p w:rsidR="00364C69" w:rsidRDefault="001403DF" w:rsidP="00364C69">
      <w:r>
        <w:t xml:space="preserve">Although they are </w:t>
      </w:r>
      <w:r w:rsidR="00FC5E21">
        <w:t>of high value, these features are out of scope for this calendar year.</w:t>
      </w:r>
    </w:p>
    <w:p w:rsidR="00472E34" w:rsidRDefault="00472E34" w:rsidP="00472E34">
      <w:pPr>
        <w:pStyle w:val="Heading2"/>
      </w:pPr>
      <w:r>
        <w:t>Timeframe</w:t>
      </w:r>
    </w:p>
    <w:p w:rsidR="00472E34" w:rsidRDefault="00472E34" w:rsidP="00364C69">
      <w:r>
        <w:t xml:space="preserve">Subject to final approval by the </w:t>
      </w:r>
      <w:r w:rsidR="00DE5195">
        <w:t>Woodgrove Bank</w:t>
      </w:r>
      <w:r>
        <w:t xml:space="preserve"> project board, the Reach Portal project will commence in February and run until the end of the calendar year.</w:t>
      </w:r>
    </w:p>
    <w:sectPr w:rsidR="00472E34" w:rsidSect="00CB39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4E9" w:rsidRDefault="001534E9" w:rsidP="0086457E">
      <w:pPr>
        <w:spacing w:after="0" w:line="240" w:lineRule="auto"/>
      </w:pPr>
      <w:r>
        <w:separator/>
      </w:r>
    </w:p>
  </w:endnote>
  <w:endnote w:type="continuationSeparator" w:id="1">
    <w:p w:rsidR="001534E9" w:rsidRDefault="001534E9" w:rsidP="0086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4E9" w:rsidRDefault="001534E9" w:rsidP="0086457E">
      <w:pPr>
        <w:spacing w:after="0" w:line="240" w:lineRule="auto"/>
      </w:pPr>
      <w:r>
        <w:separator/>
      </w:r>
    </w:p>
  </w:footnote>
  <w:footnote w:type="continuationSeparator" w:id="1">
    <w:p w:rsidR="001534E9" w:rsidRDefault="001534E9" w:rsidP="008645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F1E" w:rsidRDefault="00FE0F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01E74"/>
    <w:multiLevelType w:val="hybridMultilevel"/>
    <w:tmpl w:val="0BC00B88"/>
    <w:lvl w:ilvl="0" w:tplc="DA0E0036">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F746639"/>
    <w:multiLevelType w:val="hybridMultilevel"/>
    <w:tmpl w:val="C24088E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665D400E"/>
    <w:multiLevelType w:val="hybridMultilevel"/>
    <w:tmpl w:val="13EEEEE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4338"/>
  </w:hdrShapeDefaults>
  <w:footnotePr>
    <w:footnote w:id="0"/>
    <w:footnote w:id="1"/>
  </w:footnotePr>
  <w:endnotePr>
    <w:endnote w:id="0"/>
    <w:endnote w:id="1"/>
  </w:endnotePr>
  <w:compat/>
  <w:rsids>
    <w:rsidRoot w:val="00DD399C"/>
    <w:rsid w:val="00037E7B"/>
    <w:rsid w:val="00045DE8"/>
    <w:rsid w:val="00056C26"/>
    <w:rsid w:val="00063186"/>
    <w:rsid w:val="00067771"/>
    <w:rsid w:val="001403DF"/>
    <w:rsid w:val="001534E9"/>
    <w:rsid w:val="001548DE"/>
    <w:rsid w:val="001834AE"/>
    <w:rsid w:val="001A25DF"/>
    <w:rsid w:val="001C7CA4"/>
    <w:rsid w:val="001F52D8"/>
    <w:rsid w:val="00231477"/>
    <w:rsid w:val="00267538"/>
    <w:rsid w:val="002A0034"/>
    <w:rsid w:val="002B04A4"/>
    <w:rsid w:val="002C609D"/>
    <w:rsid w:val="00325F1F"/>
    <w:rsid w:val="00326879"/>
    <w:rsid w:val="00364C69"/>
    <w:rsid w:val="003A59E3"/>
    <w:rsid w:val="00414524"/>
    <w:rsid w:val="00423F09"/>
    <w:rsid w:val="004503BA"/>
    <w:rsid w:val="00465435"/>
    <w:rsid w:val="00472E34"/>
    <w:rsid w:val="00516D55"/>
    <w:rsid w:val="00581FCA"/>
    <w:rsid w:val="005E4B99"/>
    <w:rsid w:val="005E6478"/>
    <w:rsid w:val="0063391E"/>
    <w:rsid w:val="0065363F"/>
    <w:rsid w:val="0068560C"/>
    <w:rsid w:val="00687375"/>
    <w:rsid w:val="006A0424"/>
    <w:rsid w:val="00707D16"/>
    <w:rsid w:val="00711D06"/>
    <w:rsid w:val="0077538A"/>
    <w:rsid w:val="00776757"/>
    <w:rsid w:val="007A15E3"/>
    <w:rsid w:val="007A5038"/>
    <w:rsid w:val="007A7512"/>
    <w:rsid w:val="007A7947"/>
    <w:rsid w:val="007E503C"/>
    <w:rsid w:val="00851ED4"/>
    <w:rsid w:val="008634CA"/>
    <w:rsid w:val="0086457E"/>
    <w:rsid w:val="00895AEB"/>
    <w:rsid w:val="008C1AFC"/>
    <w:rsid w:val="008C4E69"/>
    <w:rsid w:val="008E4467"/>
    <w:rsid w:val="008F55BD"/>
    <w:rsid w:val="00902F2C"/>
    <w:rsid w:val="00904BCB"/>
    <w:rsid w:val="00953931"/>
    <w:rsid w:val="00976363"/>
    <w:rsid w:val="009C699F"/>
    <w:rsid w:val="009D27EA"/>
    <w:rsid w:val="009E7007"/>
    <w:rsid w:val="00A02788"/>
    <w:rsid w:val="00A11851"/>
    <w:rsid w:val="00A22F1A"/>
    <w:rsid w:val="00A571C2"/>
    <w:rsid w:val="00A900F4"/>
    <w:rsid w:val="00AB3F7D"/>
    <w:rsid w:val="00AD298D"/>
    <w:rsid w:val="00B41CC1"/>
    <w:rsid w:val="00B739C2"/>
    <w:rsid w:val="00C53ABB"/>
    <w:rsid w:val="00CB3908"/>
    <w:rsid w:val="00CC528D"/>
    <w:rsid w:val="00D03083"/>
    <w:rsid w:val="00D17A20"/>
    <w:rsid w:val="00D2774F"/>
    <w:rsid w:val="00D4755B"/>
    <w:rsid w:val="00D50257"/>
    <w:rsid w:val="00D879AF"/>
    <w:rsid w:val="00D92F0D"/>
    <w:rsid w:val="00D95CBD"/>
    <w:rsid w:val="00DC4BD5"/>
    <w:rsid w:val="00DD399C"/>
    <w:rsid w:val="00DE5195"/>
    <w:rsid w:val="00E47522"/>
    <w:rsid w:val="00EA4151"/>
    <w:rsid w:val="00F6381C"/>
    <w:rsid w:val="00F672CC"/>
    <w:rsid w:val="00F77470"/>
    <w:rsid w:val="00F9560E"/>
    <w:rsid w:val="00F97A6D"/>
    <w:rsid w:val="00FB21B5"/>
    <w:rsid w:val="00FC5E21"/>
    <w:rsid w:val="00FD087D"/>
    <w:rsid w:val="00FE0F1E"/>
    <w:rsid w:val="00FF1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9C"/>
  </w:style>
  <w:style w:type="paragraph" w:styleId="Heading1">
    <w:name w:val="heading 1"/>
    <w:basedOn w:val="Normal"/>
    <w:next w:val="Normal"/>
    <w:link w:val="Heading1Char"/>
    <w:uiPriority w:val="9"/>
    <w:qFormat/>
    <w:rsid w:val="00DD3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0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9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0F4"/>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DD399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DD39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D399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399C"/>
    <w:rPr>
      <w:color w:val="0000FF" w:themeColor="hyperlink"/>
      <w:u w:val="single"/>
    </w:rPr>
  </w:style>
  <w:style w:type="table" w:customStyle="1" w:styleId="LightShading-Accent11">
    <w:name w:val="Light Shading - Accent 11"/>
    <w:basedOn w:val="TableNormal"/>
    <w:uiPriority w:val="60"/>
    <w:rsid w:val="00DC4B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FF1153"/>
    <w:pPr>
      <w:ind w:left="720"/>
      <w:contextualSpacing/>
    </w:pPr>
  </w:style>
  <w:style w:type="paragraph" w:customStyle="1" w:styleId="Default">
    <w:name w:val="Default"/>
    <w:rsid w:val="00F6381C"/>
    <w:pPr>
      <w:autoSpaceDE w:val="0"/>
      <w:autoSpaceDN w:val="0"/>
      <w:adjustRightInd w:val="0"/>
      <w:spacing w:after="0" w:line="240" w:lineRule="auto"/>
    </w:pPr>
    <w:rPr>
      <w:rFonts w:ascii="Arial" w:eastAsiaTheme="minorEastAsia" w:hAnsi="Arial" w:cs="Arial"/>
      <w:color w:val="000000"/>
      <w:sz w:val="24"/>
      <w:szCs w:val="24"/>
      <w:lang w:val="en-US"/>
    </w:rPr>
  </w:style>
  <w:style w:type="paragraph" w:customStyle="1" w:styleId="ChapTitle1">
    <w:name w:val="ChapTitle+1"/>
    <w:basedOn w:val="Default"/>
    <w:next w:val="Default"/>
    <w:uiPriority w:val="99"/>
    <w:rsid w:val="00F6381C"/>
    <w:rPr>
      <w:color w:val="auto"/>
    </w:rPr>
  </w:style>
  <w:style w:type="table" w:styleId="TableGrid">
    <w:name w:val="Table Grid"/>
    <w:basedOn w:val="TableNormal"/>
    <w:uiPriority w:val="59"/>
    <w:rsid w:val="00CC52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D92F0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1834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4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34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34A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645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457E"/>
  </w:style>
  <w:style w:type="paragraph" w:styleId="Footer">
    <w:name w:val="footer"/>
    <w:basedOn w:val="Normal"/>
    <w:link w:val="FooterChar"/>
    <w:uiPriority w:val="99"/>
    <w:semiHidden/>
    <w:unhideWhenUsed/>
    <w:rsid w:val="0086457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457E"/>
  </w:style>
  <w:style w:type="paragraph" w:styleId="BalloonText">
    <w:name w:val="Balloon Text"/>
    <w:basedOn w:val="Normal"/>
    <w:link w:val="BalloonTextChar"/>
    <w:uiPriority w:val="99"/>
    <w:semiHidden/>
    <w:unhideWhenUsed/>
    <w:rsid w:val="0090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F2C"/>
    <w:rPr>
      <w:rFonts w:ascii="Tahoma" w:hAnsi="Tahoma" w:cs="Tahoma"/>
      <w:sz w:val="16"/>
      <w:szCs w:val="16"/>
    </w:rPr>
  </w:style>
  <w:style w:type="character" w:styleId="CommentReference">
    <w:name w:val="annotation reference"/>
    <w:basedOn w:val="DefaultParagraphFont"/>
    <w:uiPriority w:val="99"/>
    <w:semiHidden/>
    <w:unhideWhenUsed/>
    <w:rsid w:val="00FB21B5"/>
    <w:rPr>
      <w:sz w:val="16"/>
      <w:szCs w:val="16"/>
    </w:rPr>
  </w:style>
  <w:style w:type="paragraph" w:styleId="CommentText">
    <w:name w:val="annotation text"/>
    <w:basedOn w:val="Normal"/>
    <w:link w:val="CommentTextChar"/>
    <w:uiPriority w:val="99"/>
    <w:semiHidden/>
    <w:unhideWhenUsed/>
    <w:rsid w:val="00FB21B5"/>
    <w:pPr>
      <w:spacing w:line="240" w:lineRule="auto"/>
    </w:pPr>
    <w:rPr>
      <w:sz w:val="20"/>
      <w:szCs w:val="20"/>
    </w:rPr>
  </w:style>
  <w:style w:type="character" w:customStyle="1" w:styleId="CommentTextChar">
    <w:name w:val="Comment Text Char"/>
    <w:basedOn w:val="DefaultParagraphFont"/>
    <w:link w:val="CommentText"/>
    <w:uiPriority w:val="99"/>
    <w:semiHidden/>
    <w:rsid w:val="00FB21B5"/>
    <w:rPr>
      <w:sz w:val="20"/>
      <w:szCs w:val="20"/>
    </w:rPr>
  </w:style>
  <w:style w:type="paragraph" w:styleId="CommentSubject">
    <w:name w:val="annotation subject"/>
    <w:basedOn w:val="CommentText"/>
    <w:next w:val="CommentText"/>
    <w:link w:val="CommentSubjectChar"/>
    <w:uiPriority w:val="99"/>
    <w:semiHidden/>
    <w:unhideWhenUsed/>
    <w:rsid w:val="00FB21B5"/>
    <w:rPr>
      <w:b/>
      <w:bCs/>
    </w:rPr>
  </w:style>
  <w:style w:type="character" w:customStyle="1" w:styleId="CommentSubjectChar">
    <w:name w:val="Comment Subject Char"/>
    <w:basedOn w:val="CommentTextChar"/>
    <w:link w:val="CommentSubject"/>
    <w:uiPriority w:val="99"/>
    <w:semiHidden/>
    <w:rsid w:val="00FB21B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2007-12-14T04:54:00Z</dcterms:created>
  <dcterms:modified xsi:type="dcterms:W3CDTF">2008-01-09T06:46:00Z</dcterms:modified>
</cp:coreProperties>
</file>