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Hit or Flop? Predicting Billboard Chart Success from Spotify Audio Features, 1960–2019</w:t>
      </w:r>
    </w:p>
    <w:p>
      <w:pPr>
        <w:spacing w:after="40"/>
        <w:jc w:val="center"/>
      </w:pPr>
      <w:r>
        <w:rPr>
          <w:i/>
          <w:iCs/>
          <w:color w:val="555555"/>
          <w:sz w:val="24"/>
          <w:szCs w:val="24"/>
        </w:rPr>
        <w:t xml:space="preserve">A cross-era comparison of classifier performance and feature importance (SHAP)</w:t>
      </w:r>
    </w:p>
    <w:p>
      <w:pPr>
        <w:pBdr>
          <w:bottom w:val="single" w:color="2D6A4F" w:sz="6" w:space="6"/>
        </w:pBdr>
        <w:spacing w:after="240"/>
        <w:jc w:val="center"/>
      </w:pPr>
      <w:r>
        <w:rPr>
          <w:color w:val="777777"/>
          <w:sz w:val="18"/>
          <w:szCs w:val="18"/>
        </w:rPr>
        <w:t xml:space="preserve">Classification · Spotify Hit Predictor Dataset (Kaggle) · 41,103 tracks</w:t>
      </w:r>
    </w:p>
    <w:p>
      <w:pPr>
        <w:pStyle w:val="Heading1"/>
      </w:pPr>
      <w:r>
        <w:t xml:space="preserve">1. Introduction</w:t>
      </w:r>
    </w:p>
    <w:p>
      <w:pPr>
        <w:spacing w:after="140"/>
      </w:pPr>
      <w:r>
        <w:t xml:space="preserve">Recorded-music revenue reached US$29.6 billion in 2024, up 4.8% year on year, with paid streaming subscriptions rising 10.6% to 752 million users worldwide (IFPI, 2025). In a market where a small share of tracks captures a disproportionate share of attention and revenue, understanding what makes a hit is commercially central.</w:t>
      </w:r>
    </w:p>
    <w:p>
      <w:pPr>
        <w:spacing w:after="140"/>
      </w:pPr>
      <w:r>
        <w:t xml:space="preserve">This study asks two linked questions. First, which classifier — Logistic Regression, Random Forest, or K-Nearest Neighbours — best predicts whether a track reached the Billboard Hot 100 from its Spotify audio features? Second, which features matter most, and does their importance shift across musical eras from 1960 to 2019? Rather than treating the task as a single static classification problem, we model each era separately and compare feature importance (via SHAP) across eras, turning a model-comparison exercise into a study of how the determinants of commercial success have evolved.</w:t>
      </w:r>
    </w:p>
    <w:p>
      <w:pPr>
        <w:pStyle w:val="Heading1"/>
      </w:pPr>
      <w:r>
        <w:t xml:space="preserve">2. Data</w:t>
      </w:r>
    </w:p>
    <w:p>
      <w:pPr>
        <w:spacing w:after="140"/>
      </w:pPr>
      <w:r>
        <w:t xml:space="preserve">The Spotify Hit Predictor Dataset (1960–2019; Kaggle, theoverman) labels 41,106 tracks as hit (reached the Billboard Hot 100) or flop, each described by Spotify audio features. The data are distributed as six per-decade files (1960s–2010s) and are exactly balanced (50% hit, 50% flop) within every decade. After removing three records with invalid sensor readings (a tempo or time-signature of zero), 41,103 tracks remained.</w:t>
      </w:r>
    </w:p>
    <w:p>
      <w:pPr>
        <w:spacing w:after="140"/>
      </w:pPr>
      <w:r>
        <w:t xml:space="preserve">We retained fifteen numeric audio and structural features: danceability, energy, key, loudness, mode, speechiness, acousticness, instrumentalness, liveness, valence, tempo, duration, time-signature, chorus-hit location, and number of sections. Track, artist, and URI identifiers were dropped. A small number of tracks (546; ~1.3%) appear in more than one decade file; because each era is modelled independently, this does not bias the within-era comparisons.</w:t>
      </w:r>
    </w:p>
    <w:p>
      <w:pPr>
        <w:spacing w:after="140"/>
      </w:pPr>
      <w:r>
        <w:rPr>
          <w:b/>
          <w:bCs/>
        </w:rPr>
        <w:t xml:space="preserve">Era grouping. </w:t>
      </w:r>
      <w:r>
        <w:t xml:space="preserve">To keep the number of models manageable and the comparison interpretable, the six decades were grouped into three industry eras reflecting the dominant distribution medium: an Analog era (1960–1989; n = 23,315), a CD/Digital era (1990–2009; n = 11,391), and a Streaming era (2010–2019; n = 6,397). Per-decade models were also fitted to trace finer-grained trends.</w:t>
      </w:r>
    </w:p>
    <w:p>
      <w:pPr>
        <w:pStyle w:val="Heading1"/>
      </w:pPr>
      <w:r>
        <w:t xml:space="preserve">3. Methods</w:t>
      </w:r>
    </w:p>
    <w:p>
      <w:pPr>
        <w:spacing w:after="140"/>
      </w:pPr>
      <w:r>
        <w:t xml:space="preserve">All features were standardised (z-score) before fitting the distance- and coefficient-based models (Logistic Regression and KNN); the Random Forest used the raw feature scale. Three classifiers were compared: Logistic Regression (L2-regularised), Random Forest (150 trees), and K-Nearest Neighbours (k = 25). Each model was evaluated within every era and decade using stratified five-fold cross-validation, reporting accuracy, F1, and ROC-AUC averaged across folds.</w:t>
      </w:r>
    </w:p>
    <w:p>
      <w:pPr>
        <w:spacing w:after="140"/>
      </w:pPr>
      <w:r>
        <w:t xml:space="preserve">Feature importance was assessed with the best-performing model (Random Forest) using SHAP (TreeExplainer), reported as the mean absolute SHAP value per feature within each era and decade. To make exact TreeSHAP tractable on the larger subsets, the interpretation forest was depth-capped (max_depth = 14); its cross-validated ROC-AUC stayed within 0.005 of the unconstrained forest, so the cap does not materially change the model being explained. The direction of each feature's effect was summarised with standardised Logistic-Regression coefficients, where a positive coefficient pushes a track toward hit.</w:t>
      </w:r>
    </w:p>
    <w:p>
      <w:pPr>
        <w:pStyle w:val="Heading1"/>
      </w:pPr>
      <w:r>
        <w:t xml:space="preserve">4. Results</w:t>
      </w:r>
    </w:p>
    <w:p>
      <w:pPr>
        <w:pStyle w:val="Heading2"/>
      </w:pPr>
      <w:r>
        <w:t xml:space="preserve">4.1 Classifier performance</w:t>
      </w:r>
    </w:p>
    <w:p>
      <w:pPr>
        <w:spacing w:after="140"/>
      </w:pPr>
      <w:r>
        <w:t xml:space="preserve">Random Forest was the strongest classifier in every era and decade (Table 1, Figure 1). Within eras its ROC-AUC was 0.844 (Analog), 0.916 (CD/Digital), and 0.911 (Streaming), ahead of KNN and Logistic Regression by roughly 0.03–0.06 AUC. A clear secondary pattern emerges: hits became more predictable from audio features over time. Per-decade Random-Forest AUC rose from about 0.85 in the 1960s–70s to a peak of 0.92 in the 2000s, easing slightly to 0.91 in the 2010s (Figure 1b).</w:t>
      </w:r>
    </w:p>
    <w:p>
      <w:pPr>
        <w:spacing w:after="140"/>
      </w:pPr>
      <w:r>
        <w:rPr>
          <w:b/>
          <w:bCs/>
        </w:rPr>
        <w:t xml:space="preserve">Table 1. </w:t>
      </w:r>
      <w:r>
        <w:rPr>
          <w:i/>
          <w:iCs/>
          <w:color w:val="555555"/>
          <w:sz w:val="19"/>
          <w:szCs w:val="19"/>
        </w:rPr>
        <w:t xml:space="preserve">Cross-validated performance of the three classifiers by era (mean over 5 folds). Random Forest, the best model per era, is shaded.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1860"/>
        <w:gridCol w:w="1060"/>
        <w:gridCol w:w="1400"/>
        <w:gridCol w:w="1400"/>
        <w:gridCol w:w="1400"/>
      </w:tblGrid>
      <w:tr>
        <w:trPr>
          <w:tblHeader/>
        </w:trPr>
        <w:tc>
          <w:tcPr>
            <w:tcW w:type="dxa" w:w="2240"/>
            <w:shd w:fill="15212B" w:val="clear"/>
            <w:tcMar>
              <w:top w:type="dxa" w:w="70"/>
              <w:left w:type="dxa" w:w="110"/>
              <w:bottom w:type="dxa" w:w="70"/>
              <w:right w:type="dxa" w:w="110"/>
            </w:tcMar>
          </w:tcPr>
          <w:p>
            <w:r>
              <w:rPr>
                <w:b/>
                <w:bCs/>
                <w:color w:val="FFFFFF"/>
                <w:sz w:val="19"/>
                <w:szCs w:val="19"/>
              </w:rPr>
              <w:t xml:space="preserve">Era</w:t>
            </w:r>
          </w:p>
        </w:tc>
        <w:tc>
          <w:tcPr>
            <w:tcW w:type="dxa" w:w="1860"/>
            <w:shd w:fill="15212B" w:val="clear"/>
            <w:tcMar>
              <w:top w:type="dxa" w:w="70"/>
              <w:left w:type="dxa" w:w="110"/>
              <w:bottom w:type="dxa" w:w="70"/>
              <w:right w:type="dxa" w:w="110"/>
            </w:tcMar>
          </w:tcPr>
          <w:p>
            <w:r>
              <w:rPr>
                <w:b/>
                <w:bCs/>
                <w:color w:val="FFFFFF"/>
                <w:sz w:val="19"/>
                <w:szCs w:val="19"/>
              </w:rPr>
              <w:t xml:space="preserve">Classifier</w:t>
            </w:r>
          </w:p>
        </w:tc>
        <w:tc>
          <w:tcPr>
            <w:tcW w:type="dxa" w:w="1060"/>
            <w:shd w:fill="15212B" w:val="clear"/>
            <w:tcMar>
              <w:top w:type="dxa" w:w="70"/>
              <w:left w:type="dxa" w:w="110"/>
              <w:bottom w:type="dxa" w:w="70"/>
              <w:right w:type="dxa" w:w="110"/>
            </w:tcMar>
          </w:tcPr>
          <w:p>
            <w:r>
              <w:rPr>
                <w:b/>
                <w:bCs/>
                <w:color w:val="FFFFFF"/>
                <w:sz w:val="19"/>
                <w:szCs w:val="19"/>
              </w:rPr>
              <w:t xml:space="preserve">N</w:t>
            </w:r>
          </w:p>
        </w:tc>
        <w:tc>
          <w:tcPr>
            <w:tcW w:type="dxa" w:w="1400"/>
            <w:shd w:fill="15212B" w:val="clear"/>
            <w:tcMar>
              <w:top w:type="dxa" w:w="70"/>
              <w:left w:type="dxa" w:w="110"/>
              <w:bottom w:type="dxa" w:w="70"/>
              <w:right w:type="dxa" w:w="110"/>
            </w:tcMar>
          </w:tcPr>
          <w:p>
            <w:r>
              <w:rPr>
                <w:b/>
                <w:bCs/>
                <w:color w:val="FFFFFF"/>
                <w:sz w:val="19"/>
                <w:szCs w:val="19"/>
              </w:rPr>
              <w:t xml:space="preserve">Accuracy</w:t>
            </w:r>
          </w:p>
        </w:tc>
        <w:tc>
          <w:tcPr>
            <w:tcW w:type="dxa" w:w="1400"/>
            <w:shd w:fill="15212B" w:val="clear"/>
            <w:tcMar>
              <w:top w:type="dxa" w:w="70"/>
              <w:left w:type="dxa" w:w="110"/>
              <w:bottom w:type="dxa" w:w="70"/>
              <w:right w:type="dxa" w:w="110"/>
            </w:tcMar>
          </w:tcPr>
          <w:p>
            <w:r>
              <w:rPr>
                <w:b/>
                <w:bCs/>
                <w:color w:val="FFFFFF"/>
                <w:sz w:val="19"/>
                <w:szCs w:val="19"/>
              </w:rPr>
              <w:t xml:space="preserve">F1</w:t>
            </w:r>
          </w:p>
        </w:tc>
        <w:tc>
          <w:tcPr>
            <w:tcW w:type="dxa" w:w="1400"/>
            <w:shd w:fill="15212B" w:val="clear"/>
            <w:tcMar>
              <w:top w:type="dxa" w:w="70"/>
              <w:left w:type="dxa" w:w="110"/>
              <w:bottom w:type="dxa" w:w="70"/>
              <w:right w:type="dxa" w:w="110"/>
            </w:tcMar>
          </w:tcPr>
          <w:p>
            <w:r>
              <w:rPr>
                <w:b/>
                <w:bCs/>
                <w:color w:val="FFFFFF"/>
                <w:sz w:val="19"/>
                <w:szCs w:val="19"/>
              </w:rPr>
              <w:t xml:space="preserve">ROC-AUC</w:t>
            </w:r>
          </w:p>
        </w:tc>
      </w:tr>
      <w:tr>
        <w:tc>
          <w:tcPr>
            <w:tcW w:type="dxa" w:w="2240"/>
            <w:shd w:fill="F5F6F8" w:val="clear"/>
            <w:tcMar>
              <w:top w:type="dxa" w:w="60"/>
              <w:left w:type="dxa" w:w="110"/>
              <w:bottom w:type="dxa" w:w="60"/>
              <w:right w:type="dxa" w:w="110"/>
            </w:tcMar>
          </w:tcPr>
          <w:p>
            <w:pPr>
              <w:jc w:val="left"/>
            </w:pPr>
            <w:r>
              <w:rPr>
                <w:b/>
                <w:bCs/>
                <w:color w:val="222222"/>
                <w:sz w:val="19"/>
                <w:szCs w:val="19"/>
              </w:rPr>
              <w:t xml:space="preserve">Analog (1960–89)</w:t>
            </w:r>
          </w:p>
        </w:tc>
        <w:tc>
          <w:tcPr>
            <w:tcW w:type="dxa" w:w="1860"/>
            <w:shd w:fill="F5F6F8" w:val="clear"/>
            <w:tcMar>
              <w:top w:type="dxa" w:w="60"/>
              <w:left w:type="dxa" w:w="110"/>
              <w:bottom w:type="dxa" w:w="60"/>
              <w:right w:type="dxa" w:w="110"/>
            </w:tcMar>
          </w:tcPr>
          <w:p>
            <w:pPr>
              <w:jc w:val="left"/>
            </w:pPr>
            <w:r>
              <w:rPr>
                <w:b w:val="false"/>
                <w:bCs w:val="false"/>
                <w:color w:val="222222"/>
                <w:sz w:val="19"/>
                <w:szCs w:val="19"/>
              </w:rPr>
              <w:t xml:space="preserve">Logistic Regression</w:t>
            </w:r>
          </w:p>
        </w:tc>
        <w:tc>
          <w:tcPr>
            <w:tcW w:type="dxa" w:w="1060"/>
            <w:shd w:fill="F5F6F8" w:val="clear"/>
            <w:tcMar>
              <w:top w:type="dxa" w:w="60"/>
              <w:left w:type="dxa" w:w="110"/>
              <w:bottom w:type="dxa" w:w="60"/>
              <w:right w:type="dxa" w:w="110"/>
            </w:tcMar>
          </w:tcPr>
          <w:p>
            <w:pPr>
              <w:jc w:val="right"/>
            </w:pPr>
            <w:r>
              <w:rPr>
                <w:b w:val="false"/>
                <w:bCs w:val="false"/>
                <w:color w:val="222222"/>
                <w:sz w:val="19"/>
                <w:szCs w:val="19"/>
              </w:rPr>
              <w:t xml:space="preserve">23,315</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0.714</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0.735</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0.786</w:t>
            </w:r>
          </w:p>
        </w:tc>
      </w:tr>
      <w:tr>
        <w:tc>
          <w:tcPr>
            <w:tcW w:type="dxa" w:w="2240"/>
            <w:shd w:fill="E7F0EC" w:val="clear"/>
            <w:tcMar>
              <w:top w:type="dxa" w:w="60"/>
              <w:left w:type="dxa" w:w="110"/>
              <w:bottom w:type="dxa" w:w="60"/>
              <w:right w:type="dxa" w:w="110"/>
            </w:tcMar>
          </w:tcPr>
          <w:p>
            <w:pPr>
              <w:jc w:val="left"/>
            </w:pPr>
            <w:r>
              <w:rPr>
                <w:b w:val="false"/>
                <w:bCs w:val="false"/>
                <w:color w:val="222222"/>
                <w:sz w:val="19"/>
                <w:szCs w:val="19"/>
              </w:rPr>
              <w:t xml:space="preserve"/>
            </w:r>
          </w:p>
        </w:tc>
        <w:tc>
          <w:tcPr>
            <w:tcW w:type="dxa" w:w="1860"/>
            <w:shd w:fill="E7F0EC" w:val="clear"/>
            <w:tcMar>
              <w:top w:type="dxa" w:w="60"/>
              <w:left w:type="dxa" w:w="110"/>
              <w:bottom w:type="dxa" w:w="60"/>
              <w:right w:type="dxa" w:w="110"/>
            </w:tcMar>
          </w:tcPr>
          <w:p>
            <w:pPr>
              <w:jc w:val="left"/>
            </w:pPr>
            <w:r>
              <w:rPr>
                <w:b/>
                <w:bCs/>
                <w:color w:val="2D6A4F"/>
                <w:sz w:val="19"/>
                <w:szCs w:val="19"/>
              </w:rPr>
              <w:t xml:space="preserve">Random Forest</w:t>
            </w:r>
          </w:p>
        </w:tc>
        <w:tc>
          <w:tcPr>
            <w:tcW w:type="dxa" w:w="1060"/>
            <w:shd w:fill="E7F0EC" w:val="clear"/>
            <w:tcMar>
              <w:top w:type="dxa" w:w="60"/>
              <w:left w:type="dxa" w:w="110"/>
              <w:bottom w:type="dxa" w:w="60"/>
              <w:right w:type="dxa" w:w="110"/>
            </w:tcMar>
          </w:tcPr>
          <w:p>
            <w:pPr>
              <w:jc w:val="right"/>
            </w:pPr>
            <w:r>
              <w:rPr>
                <w:b w:val="false"/>
                <w:bCs w:val="false"/>
                <w:color w:val="222222"/>
                <w:sz w:val="19"/>
                <w:szCs w:val="19"/>
              </w:rPr>
              <w:t xml:space="preserve">23,315</w:t>
            </w:r>
          </w:p>
        </w:tc>
        <w:tc>
          <w:tcPr>
            <w:tcW w:type="dxa" w:w="1400"/>
            <w:shd w:fill="E7F0EC" w:val="clear"/>
            <w:tcMar>
              <w:top w:type="dxa" w:w="60"/>
              <w:left w:type="dxa" w:w="110"/>
              <w:bottom w:type="dxa" w:w="60"/>
              <w:right w:type="dxa" w:w="110"/>
            </w:tcMar>
          </w:tcPr>
          <w:p>
            <w:pPr>
              <w:jc w:val="center"/>
            </w:pPr>
            <w:r>
              <w:rPr>
                <w:b w:val="false"/>
                <w:bCs w:val="false"/>
                <w:color w:val="222222"/>
                <w:sz w:val="19"/>
                <w:szCs w:val="19"/>
              </w:rPr>
              <w:t xml:space="preserve">0.766</w:t>
            </w:r>
          </w:p>
        </w:tc>
        <w:tc>
          <w:tcPr>
            <w:tcW w:type="dxa" w:w="1400"/>
            <w:shd w:fill="E7F0EC" w:val="clear"/>
            <w:tcMar>
              <w:top w:type="dxa" w:w="60"/>
              <w:left w:type="dxa" w:w="110"/>
              <w:bottom w:type="dxa" w:w="60"/>
              <w:right w:type="dxa" w:w="110"/>
            </w:tcMar>
          </w:tcPr>
          <w:p>
            <w:pPr>
              <w:jc w:val="center"/>
            </w:pPr>
            <w:r>
              <w:rPr>
                <w:b w:val="false"/>
                <w:bCs w:val="false"/>
                <w:color w:val="222222"/>
                <w:sz w:val="19"/>
                <w:szCs w:val="19"/>
              </w:rPr>
              <w:t xml:space="preserve">0.783</w:t>
            </w:r>
          </w:p>
        </w:tc>
        <w:tc>
          <w:tcPr>
            <w:tcW w:type="dxa" w:w="1400"/>
            <w:shd w:fill="E7F0EC" w:val="clear"/>
            <w:tcMar>
              <w:top w:type="dxa" w:w="60"/>
              <w:left w:type="dxa" w:w="110"/>
              <w:bottom w:type="dxa" w:w="60"/>
              <w:right w:type="dxa" w:w="110"/>
            </w:tcMar>
          </w:tcPr>
          <w:p>
            <w:pPr>
              <w:jc w:val="center"/>
            </w:pPr>
            <w:r>
              <w:rPr>
                <w:b/>
                <w:bCs/>
                <w:color w:val="2D6A4F"/>
                <w:sz w:val="19"/>
                <w:szCs w:val="19"/>
              </w:rPr>
              <w:t xml:space="preserve">0.844</w:t>
            </w:r>
          </w:p>
        </w:tc>
      </w:tr>
      <w:tr>
        <w:tc>
          <w:tcPr>
            <w:tcW w:type="dxa" w:w="2240"/>
            <w:shd w:fill="F5F6F8" w:val="clear"/>
            <w:tcMar>
              <w:top w:type="dxa" w:w="60"/>
              <w:left w:type="dxa" w:w="110"/>
              <w:bottom w:type="dxa" w:w="60"/>
              <w:right w:type="dxa" w:w="110"/>
            </w:tcMar>
          </w:tcPr>
          <w:p>
            <w:pPr>
              <w:jc w:val="left"/>
            </w:pPr>
            <w:r>
              <w:rPr>
                <w:b w:val="false"/>
                <w:bCs w:val="false"/>
                <w:color w:val="222222"/>
                <w:sz w:val="19"/>
                <w:szCs w:val="19"/>
              </w:rPr>
              <w:t xml:space="preserve"/>
            </w:r>
          </w:p>
        </w:tc>
        <w:tc>
          <w:tcPr>
            <w:tcW w:type="dxa" w:w="1860"/>
            <w:shd w:fill="F5F6F8" w:val="clear"/>
            <w:tcMar>
              <w:top w:type="dxa" w:w="60"/>
              <w:left w:type="dxa" w:w="110"/>
              <w:bottom w:type="dxa" w:w="60"/>
              <w:right w:type="dxa" w:w="110"/>
            </w:tcMar>
          </w:tcPr>
          <w:p>
            <w:pPr>
              <w:jc w:val="left"/>
            </w:pPr>
            <w:r>
              <w:rPr>
                <w:b w:val="false"/>
                <w:bCs w:val="false"/>
                <w:color w:val="222222"/>
                <w:sz w:val="19"/>
                <w:szCs w:val="19"/>
              </w:rPr>
              <w:t xml:space="preserve">KNN</w:t>
            </w:r>
          </w:p>
        </w:tc>
        <w:tc>
          <w:tcPr>
            <w:tcW w:type="dxa" w:w="1060"/>
            <w:shd w:fill="F5F6F8" w:val="clear"/>
            <w:tcMar>
              <w:top w:type="dxa" w:w="60"/>
              <w:left w:type="dxa" w:w="110"/>
              <w:bottom w:type="dxa" w:w="60"/>
              <w:right w:type="dxa" w:w="110"/>
            </w:tcMar>
          </w:tcPr>
          <w:p>
            <w:pPr>
              <w:jc w:val="right"/>
            </w:pPr>
            <w:r>
              <w:rPr>
                <w:b w:val="false"/>
                <w:bCs w:val="false"/>
                <w:color w:val="222222"/>
                <w:sz w:val="19"/>
                <w:szCs w:val="19"/>
              </w:rPr>
              <w:t xml:space="preserve">23,315</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0.725</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0.760</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0.801</w:t>
            </w:r>
          </w:p>
        </w:tc>
      </w:tr>
      <w:tr>
        <w:tc>
          <w:tcPr>
            <w:tcW w:type="dxa" w:w="2240"/>
            <w:shd w:fill="F5F6F8" w:val="clear"/>
            <w:tcMar>
              <w:top w:type="dxa" w:w="60"/>
              <w:left w:type="dxa" w:w="110"/>
              <w:bottom w:type="dxa" w:w="60"/>
              <w:right w:type="dxa" w:w="110"/>
            </w:tcMar>
          </w:tcPr>
          <w:p>
            <w:pPr>
              <w:jc w:val="left"/>
            </w:pPr>
            <w:r>
              <w:rPr>
                <w:b/>
                <w:bCs/>
                <w:color w:val="222222"/>
                <w:sz w:val="19"/>
                <w:szCs w:val="19"/>
              </w:rPr>
              <w:t xml:space="preserve">CD/Digital (1990–2009)</w:t>
            </w:r>
          </w:p>
        </w:tc>
        <w:tc>
          <w:tcPr>
            <w:tcW w:type="dxa" w:w="1860"/>
            <w:shd w:fill="F5F6F8" w:val="clear"/>
            <w:tcMar>
              <w:top w:type="dxa" w:w="60"/>
              <w:left w:type="dxa" w:w="110"/>
              <w:bottom w:type="dxa" w:w="60"/>
              <w:right w:type="dxa" w:w="110"/>
            </w:tcMar>
          </w:tcPr>
          <w:p>
            <w:pPr>
              <w:jc w:val="left"/>
            </w:pPr>
            <w:r>
              <w:rPr>
                <w:b w:val="false"/>
                <w:bCs w:val="false"/>
                <w:color w:val="222222"/>
                <w:sz w:val="19"/>
                <w:szCs w:val="19"/>
              </w:rPr>
              <w:t xml:space="preserve">Logistic Regression</w:t>
            </w:r>
          </w:p>
        </w:tc>
        <w:tc>
          <w:tcPr>
            <w:tcW w:type="dxa" w:w="1060"/>
            <w:shd w:fill="F5F6F8" w:val="clear"/>
            <w:tcMar>
              <w:top w:type="dxa" w:w="60"/>
              <w:left w:type="dxa" w:w="110"/>
              <w:bottom w:type="dxa" w:w="60"/>
              <w:right w:type="dxa" w:w="110"/>
            </w:tcMar>
          </w:tcPr>
          <w:p>
            <w:pPr>
              <w:jc w:val="right"/>
            </w:pPr>
            <w:r>
              <w:rPr>
                <w:b w:val="false"/>
                <w:bCs w:val="false"/>
                <w:color w:val="222222"/>
                <w:sz w:val="19"/>
                <w:szCs w:val="19"/>
              </w:rPr>
              <w:t xml:space="preserve">11,391</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0.801</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0.812</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0.874</w:t>
            </w:r>
          </w:p>
        </w:tc>
      </w:tr>
      <w:tr>
        <w:tc>
          <w:tcPr>
            <w:tcW w:type="dxa" w:w="2240"/>
            <w:shd w:fill="E7F0EC" w:val="clear"/>
            <w:tcMar>
              <w:top w:type="dxa" w:w="60"/>
              <w:left w:type="dxa" w:w="110"/>
              <w:bottom w:type="dxa" w:w="60"/>
              <w:right w:type="dxa" w:w="110"/>
            </w:tcMar>
          </w:tcPr>
          <w:p>
            <w:pPr>
              <w:jc w:val="left"/>
            </w:pPr>
            <w:r>
              <w:rPr>
                <w:b w:val="false"/>
                <w:bCs w:val="false"/>
                <w:color w:val="222222"/>
                <w:sz w:val="19"/>
                <w:szCs w:val="19"/>
              </w:rPr>
              <w:t xml:space="preserve"/>
            </w:r>
          </w:p>
        </w:tc>
        <w:tc>
          <w:tcPr>
            <w:tcW w:type="dxa" w:w="1860"/>
            <w:shd w:fill="E7F0EC" w:val="clear"/>
            <w:tcMar>
              <w:top w:type="dxa" w:w="60"/>
              <w:left w:type="dxa" w:w="110"/>
              <w:bottom w:type="dxa" w:w="60"/>
              <w:right w:type="dxa" w:w="110"/>
            </w:tcMar>
          </w:tcPr>
          <w:p>
            <w:pPr>
              <w:jc w:val="left"/>
            </w:pPr>
            <w:r>
              <w:rPr>
                <w:b/>
                <w:bCs/>
                <w:color w:val="2D6A4F"/>
                <w:sz w:val="19"/>
                <w:szCs w:val="19"/>
              </w:rPr>
              <w:t xml:space="preserve">Random Forest</w:t>
            </w:r>
          </w:p>
        </w:tc>
        <w:tc>
          <w:tcPr>
            <w:tcW w:type="dxa" w:w="1060"/>
            <w:shd w:fill="E7F0EC" w:val="clear"/>
            <w:tcMar>
              <w:top w:type="dxa" w:w="60"/>
              <w:left w:type="dxa" w:w="110"/>
              <w:bottom w:type="dxa" w:w="60"/>
              <w:right w:type="dxa" w:w="110"/>
            </w:tcMar>
          </w:tcPr>
          <w:p>
            <w:pPr>
              <w:jc w:val="right"/>
            </w:pPr>
            <w:r>
              <w:rPr>
                <w:b w:val="false"/>
                <w:bCs w:val="false"/>
                <w:color w:val="222222"/>
                <w:sz w:val="19"/>
                <w:szCs w:val="19"/>
              </w:rPr>
              <w:t xml:space="preserve">11,391</w:t>
            </w:r>
          </w:p>
        </w:tc>
        <w:tc>
          <w:tcPr>
            <w:tcW w:type="dxa" w:w="1400"/>
            <w:shd w:fill="E7F0EC" w:val="clear"/>
            <w:tcMar>
              <w:top w:type="dxa" w:w="60"/>
              <w:left w:type="dxa" w:w="110"/>
              <w:bottom w:type="dxa" w:w="60"/>
              <w:right w:type="dxa" w:w="110"/>
            </w:tcMar>
          </w:tcPr>
          <w:p>
            <w:pPr>
              <w:jc w:val="center"/>
            </w:pPr>
            <w:r>
              <w:rPr>
                <w:b w:val="false"/>
                <w:bCs w:val="false"/>
                <w:color w:val="222222"/>
                <w:sz w:val="19"/>
                <w:szCs w:val="19"/>
              </w:rPr>
              <w:t xml:space="preserve">0.845</w:t>
            </w:r>
          </w:p>
        </w:tc>
        <w:tc>
          <w:tcPr>
            <w:tcW w:type="dxa" w:w="1400"/>
            <w:shd w:fill="E7F0EC" w:val="clear"/>
            <w:tcMar>
              <w:top w:type="dxa" w:w="60"/>
              <w:left w:type="dxa" w:w="110"/>
              <w:bottom w:type="dxa" w:w="60"/>
              <w:right w:type="dxa" w:w="110"/>
            </w:tcMar>
          </w:tcPr>
          <w:p>
            <w:pPr>
              <w:jc w:val="center"/>
            </w:pPr>
            <w:r>
              <w:rPr>
                <w:b w:val="false"/>
                <w:bCs w:val="false"/>
                <w:color w:val="222222"/>
                <w:sz w:val="19"/>
                <w:szCs w:val="19"/>
              </w:rPr>
              <w:t xml:space="preserve">0.851</w:t>
            </w:r>
          </w:p>
        </w:tc>
        <w:tc>
          <w:tcPr>
            <w:tcW w:type="dxa" w:w="1400"/>
            <w:shd w:fill="E7F0EC" w:val="clear"/>
            <w:tcMar>
              <w:top w:type="dxa" w:w="60"/>
              <w:left w:type="dxa" w:w="110"/>
              <w:bottom w:type="dxa" w:w="60"/>
              <w:right w:type="dxa" w:w="110"/>
            </w:tcMar>
          </w:tcPr>
          <w:p>
            <w:pPr>
              <w:jc w:val="center"/>
            </w:pPr>
            <w:r>
              <w:rPr>
                <w:b/>
                <w:bCs/>
                <w:color w:val="2D6A4F"/>
                <w:sz w:val="19"/>
                <w:szCs w:val="19"/>
              </w:rPr>
              <w:t xml:space="preserve">0.916</w:t>
            </w:r>
          </w:p>
        </w:tc>
      </w:tr>
      <w:tr>
        <w:tc>
          <w:tcPr>
            <w:tcW w:type="dxa" w:w="2240"/>
            <w:shd w:fill="F5F6F8" w:val="clear"/>
            <w:tcMar>
              <w:top w:type="dxa" w:w="60"/>
              <w:left w:type="dxa" w:w="110"/>
              <w:bottom w:type="dxa" w:w="60"/>
              <w:right w:type="dxa" w:w="110"/>
            </w:tcMar>
          </w:tcPr>
          <w:p>
            <w:pPr>
              <w:jc w:val="left"/>
            </w:pPr>
            <w:r>
              <w:rPr>
                <w:b w:val="false"/>
                <w:bCs w:val="false"/>
                <w:color w:val="222222"/>
                <w:sz w:val="19"/>
                <w:szCs w:val="19"/>
              </w:rPr>
              <w:t xml:space="preserve"/>
            </w:r>
          </w:p>
        </w:tc>
        <w:tc>
          <w:tcPr>
            <w:tcW w:type="dxa" w:w="1860"/>
            <w:shd w:fill="F5F6F8" w:val="clear"/>
            <w:tcMar>
              <w:top w:type="dxa" w:w="60"/>
              <w:left w:type="dxa" w:w="110"/>
              <w:bottom w:type="dxa" w:w="60"/>
              <w:right w:type="dxa" w:w="110"/>
            </w:tcMar>
          </w:tcPr>
          <w:p>
            <w:pPr>
              <w:jc w:val="left"/>
            </w:pPr>
            <w:r>
              <w:rPr>
                <w:b w:val="false"/>
                <w:bCs w:val="false"/>
                <w:color w:val="222222"/>
                <w:sz w:val="19"/>
                <w:szCs w:val="19"/>
              </w:rPr>
              <w:t xml:space="preserve">KNN</w:t>
            </w:r>
          </w:p>
        </w:tc>
        <w:tc>
          <w:tcPr>
            <w:tcW w:type="dxa" w:w="1060"/>
            <w:shd w:fill="F5F6F8" w:val="clear"/>
            <w:tcMar>
              <w:top w:type="dxa" w:w="60"/>
              <w:left w:type="dxa" w:w="110"/>
              <w:bottom w:type="dxa" w:w="60"/>
              <w:right w:type="dxa" w:w="110"/>
            </w:tcMar>
          </w:tcPr>
          <w:p>
            <w:pPr>
              <w:jc w:val="right"/>
            </w:pPr>
            <w:r>
              <w:rPr>
                <w:b w:val="false"/>
                <w:bCs w:val="false"/>
                <w:color w:val="222222"/>
                <w:sz w:val="19"/>
                <w:szCs w:val="19"/>
              </w:rPr>
              <w:t xml:space="preserve">11,391</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0.803</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0.825</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0.883</w:t>
            </w:r>
          </w:p>
        </w:tc>
      </w:tr>
      <w:tr>
        <w:tc>
          <w:tcPr>
            <w:tcW w:type="dxa" w:w="2240"/>
            <w:shd w:fill="F5F6F8" w:val="clear"/>
            <w:tcMar>
              <w:top w:type="dxa" w:w="60"/>
              <w:left w:type="dxa" w:w="110"/>
              <w:bottom w:type="dxa" w:w="60"/>
              <w:right w:type="dxa" w:w="110"/>
            </w:tcMar>
          </w:tcPr>
          <w:p>
            <w:pPr>
              <w:jc w:val="left"/>
            </w:pPr>
            <w:r>
              <w:rPr>
                <w:b/>
                <w:bCs/>
                <w:color w:val="222222"/>
                <w:sz w:val="19"/>
                <w:szCs w:val="19"/>
              </w:rPr>
              <w:t xml:space="preserve">Streaming (2010s)</w:t>
            </w:r>
          </w:p>
        </w:tc>
        <w:tc>
          <w:tcPr>
            <w:tcW w:type="dxa" w:w="1860"/>
            <w:shd w:fill="F5F6F8" w:val="clear"/>
            <w:tcMar>
              <w:top w:type="dxa" w:w="60"/>
              <w:left w:type="dxa" w:w="110"/>
              <w:bottom w:type="dxa" w:w="60"/>
              <w:right w:type="dxa" w:w="110"/>
            </w:tcMar>
          </w:tcPr>
          <w:p>
            <w:pPr>
              <w:jc w:val="left"/>
            </w:pPr>
            <w:r>
              <w:rPr>
                <w:b w:val="false"/>
                <w:bCs w:val="false"/>
                <w:color w:val="222222"/>
                <w:sz w:val="19"/>
                <w:szCs w:val="19"/>
              </w:rPr>
              <w:t xml:space="preserve">Logistic Regression</w:t>
            </w:r>
          </w:p>
        </w:tc>
        <w:tc>
          <w:tcPr>
            <w:tcW w:type="dxa" w:w="1060"/>
            <w:shd w:fill="F5F6F8" w:val="clear"/>
            <w:tcMar>
              <w:top w:type="dxa" w:w="60"/>
              <w:left w:type="dxa" w:w="110"/>
              <w:bottom w:type="dxa" w:w="60"/>
              <w:right w:type="dxa" w:w="110"/>
            </w:tcMar>
          </w:tcPr>
          <w:p>
            <w:pPr>
              <w:jc w:val="right"/>
            </w:pPr>
            <w:r>
              <w:rPr>
                <w:b w:val="false"/>
                <w:bCs w:val="false"/>
                <w:color w:val="222222"/>
                <w:sz w:val="19"/>
                <w:szCs w:val="19"/>
              </w:rPr>
              <w:t xml:space="preserve">6,397</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0.807</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0.823</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0.865</w:t>
            </w:r>
          </w:p>
        </w:tc>
      </w:tr>
      <w:tr>
        <w:tc>
          <w:tcPr>
            <w:tcW w:type="dxa" w:w="2240"/>
            <w:shd w:fill="E7F0EC" w:val="clear"/>
            <w:tcMar>
              <w:top w:type="dxa" w:w="60"/>
              <w:left w:type="dxa" w:w="110"/>
              <w:bottom w:type="dxa" w:w="60"/>
              <w:right w:type="dxa" w:w="110"/>
            </w:tcMar>
          </w:tcPr>
          <w:p>
            <w:pPr>
              <w:jc w:val="left"/>
            </w:pPr>
            <w:r>
              <w:rPr>
                <w:b w:val="false"/>
                <w:bCs w:val="false"/>
                <w:color w:val="222222"/>
                <w:sz w:val="19"/>
                <w:szCs w:val="19"/>
              </w:rPr>
              <w:t xml:space="preserve"/>
            </w:r>
          </w:p>
        </w:tc>
        <w:tc>
          <w:tcPr>
            <w:tcW w:type="dxa" w:w="1860"/>
            <w:shd w:fill="E7F0EC" w:val="clear"/>
            <w:tcMar>
              <w:top w:type="dxa" w:w="60"/>
              <w:left w:type="dxa" w:w="110"/>
              <w:bottom w:type="dxa" w:w="60"/>
              <w:right w:type="dxa" w:w="110"/>
            </w:tcMar>
          </w:tcPr>
          <w:p>
            <w:pPr>
              <w:jc w:val="left"/>
            </w:pPr>
            <w:r>
              <w:rPr>
                <w:b/>
                <w:bCs/>
                <w:color w:val="2D6A4F"/>
                <w:sz w:val="19"/>
                <w:szCs w:val="19"/>
              </w:rPr>
              <w:t xml:space="preserve">Random Forest</w:t>
            </w:r>
          </w:p>
        </w:tc>
        <w:tc>
          <w:tcPr>
            <w:tcW w:type="dxa" w:w="1060"/>
            <w:shd w:fill="E7F0EC" w:val="clear"/>
            <w:tcMar>
              <w:top w:type="dxa" w:w="60"/>
              <w:left w:type="dxa" w:w="110"/>
              <w:bottom w:type="dxa" w:w="60"/>
              <w:right w:type="dxa" w:w="110"/>
            </w:tcMar>
          </w:tcPr>
          <w:p>
            <w:pPr>
              <w:jc w:val="right"/>
            </w:pPr>
            <w:r>
              <w:rPr>
                <w:b w:val="false"/>
                <w:bCs w:val="false"/>
                <w:color w:val="222222"/>
                <w:sz w:val="19"/>
                <w:szCs w:val="19"/>
              </w:rPr>
              <w:t xml:space="preserve">6,397</w:t>
            </w:r>
          </w:p>
        </w:tc>
        <w:tc>
          <w:tcPr>
            <w:tcW w:type="dxa" w:w="1400"/>
            <w:shd w:fill="E7F0EC" w:val="clear"/>
            <w:tcMar>
              <w:top w:type="dxa" w:w="60"/>
              <w:left w:type="dxa" w:w="110"/>
              <w:bottom w:type="dxa" w:w="60"/>
              <w:right w:type="dxa" w:w="110"/>
            </w:tcMar>
          </w:tcPr>
          <w:p>
            <w:pPr>
              <w:jc w:val="center"/>
            </w:pPr>
            <w:r>
              <w:rPr>
                <w:b w:val="false"/>
                <w:bCs w:val="false"/>
                <w:color w:val="222222"/>
                <w:sz w:val="19"/>
                <w:szCs w:val="19"/>
              </w:rPr>
              <w:t xml:space="preserve">0.841</w:t>
            </w:r>
          </w:p>
        </w:tc>
        <w:tc>
          <w:tcPr>
            <w:tcW w:type="dxa" w:w="1400"/>
            <w:shd w:fill="E7F0EC" w:val="clear"/>
            <w:tcMar>
              <w:top w:type="dxa" w:w="60"/>
              <w:left w:type="dxa" w:w="110"/>
              <w:bottom w:type="dxa" w:w="60"/>
              <w:right w:type="dxa" w:w="110"/>
            </w:tcMar>
          </w:tcPr>
          <w:p>
            <w:pPr>
              <w:jc w:val="center"/>
            </w:pPr>
            <w:r>
              <w:rPr>
                <w:b w:val="false"/>
                <w:bCs w:val="false"/>
                <w:color w:val="222222"/>
                <w:sz w:val="19"/>
                <w:szCs w:val="19"/>
              </w:rPr>
              <w:t xml:space="preserve">0.850</w:t>
            </w:r>
          </w:p>
        </w:tc>
        <w:tc>
          <w:tcPr>
            <w:tcW w:type="dxa" w:w="1400"/>
            <w:shd w:fill="E7F0EC" w:val="clear"/>
            <w:tcMar>
              <w:top w:type="dxa" w:w="60"/>
              <w:left w:type="dxa" w:w="110"/>
              <w:bottom w:type="dxa" w:w="60"/>
              <w:right w:type="dxa" w:w="110"/>
            </w:tcMar>
          </w:tcPr>
          <w:p>
            <w:pPr>
              <w:jc w:val="center"/>
            </w:pPr>
            <w:r>
              <w:rPr>
                <w:b/>
                <w:bCs/>
                <w:color w:val="2D6A4F"/>
                <w:sz w:val="19"/>
                <w:szCs w:val="19"/>
              </w:rPr>
              <w:t xml:space="preserve">0.911</w:t>
            </w:r>
          </w:p>
        </w:tc>
      </w:tr>
      <w:tr>
        <w:tc>
          <w:tcPr>
            <w:tcW w:type="dxa" w:w="2240"/>
            <w:shd w:fill="F5F6F8" w:val="clear"/>
            <w:tcMar>
              <w:top w:type="dxa" w:w="60"/>
              <w:left w:type="dxa" w:w="110"/>
              <w:bottom w:type="dxa" w:w="60"/>
              <w:right w:type="dxa" w:w="110"/>
            </w:tcMar>
          </w:tcPr>
          <w:p>
            <w:pPr>
              <w:jc w:val="left"/>
            </w:pPr>
            <w:r>
              <w:rPr>
                <w:b w:val="false"/>
                <w:bCs w:val="false"/>
                <w:color w:val="222222"/>
                <w:sz w:val="19"/>
                <w:szCs w:val="19"/>
              </w:rPr>
              <w:t xml:space="preserve"/>
            </w:r>
          </w:p>
        </w:tc>
        <w:tc>
          <w:tcPr>
            <w:tcW w:type="dxa" w:w="1860"/>
            <w:shd w:fill="F5F6F8" w:val="clear"/>
            <w:tcMar>
              <w:top w:type="dxa" w:w="60"/>
              <w:left w:type="dxa" w:w="110"/>
              <w:bottom w:type="dxa" w:w="60"/>
              <w:right w:type="dxa" w:w="110"/>
            </w:tcMar>
          </w:tcPr>
          <w:p>
            <w:pPr>
              <w:jc w:val="left"/>
            </w:pPr>
            <w:r>
              <w:rPr>
                <w:b w:val="false"/>
                <w:bCs w:val="false"/>
                <w:color w:val="222222"/>
                <w:sz w:val="19"/>
                <w:szCs w:val="19"/>
              </w:rPr>
              <w:t xml:space="preserve">KNN</w:t>
            </w:r>
          </w:p>
        </w:tc>
        <w:tc>
          <w:tcPr>
            <w:tcW w:type="dxa" w:w="1060"/>
            <w:shd w:fill="F5F6F8" w:val="clear"/>
            <w:tcMar>
              <w:top w:type="dxa" w:w="60"/>
              <w:left w:type="dxa" w:w="110"/>
              <w:bottom w:type="dxa" w:w="60"/>
              <w:right w:type="dxa" w:w="110"/>
            </w:tcMar>
          </w:tcPr>
          <w:p>
            <w:pPr>
              <w:jc w:val="right"/>
            </w:pPr>
            <w:r>
              <w:rPr>
                <w:b w:val="false"/>
                <w:bCs w:val="false"/>
                <w:color w:val="222222"/>
                <w:sz w:val="19"/>
                <w:szCs w:val="19"/>
              </w:rPr>
              <w:t xml:space="preserve">6,397</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0.779</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0.812</w:t>
            </w:r>
          </w:p>
        </w:tc>
        <w:tc>
          <w:tcPr>
            <w:tcW w:type="dxa" w:w="1400"/>
            <w:shd w:fill="F5F6F8" w:val="clear"/>
            <w:tcMar>
              <w:top w:type="dxa" w:w="60"/>
              <w:left w:type="dxa" w:w="110"/>
              <w:bottom w:type="dxa" w:w="60"/>
              <w:right w:type="dxa" w:w="110"/>
            </w:tcMar>
          </w:tcPr>
          <w:p>
            <w:pPr>
              <w:jc w:val="center"/>
            </w:pPr>
            <w:r>
              <w:rPr>
                <w:b w:val="false"/>
                <w:bCs w:val="false"/>
                <w:color w:val="222222"/>
                <w:sz w:val="19"/>
                <w:szCs w:val="19"/>
              </w:rPr>
              <w:t xml:space="preserve">0.857</w:t>
            </w:r>
          </w:p>
        </w:tc>
      </w:tr>
    </w:tbl>
    <w:p>
      <w:pPr>
        <w:spacing w:after="60" w:before="160"/>
        <w:jc w:val="center"/>
      </w:pPr>
      <w:r>
        <w:drawing>
          <wp:inline distT="0" distB="0" distL="0" distR="0">
            <wp:extent cx="5943600" cy="2590800"/>
            <wp:effectExtent t="0" r="0" b="0" l="0"/>
            <wp:docPr id="1" name="Figure 1" descr="Classifier performance by era (a) and the rise in hit predictability across decades for the Random Forest (b)."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590800"/>
                    </a:xfrm>
                    <a:prstGeom prst="rect">
                      <a:avLst/>
                    </a:prstGeom>
                  </pic:spPr>
                </pic:pic>
              </a:graphicData>
            </a:graphic>
          </wp:inline>
        </w:drawing>
      </w:r>
    </w:p>
    <w:p>
      <w:pPr>
        <w:spacing w:after="200"/>
        <w:jc w:val="center"/>
      </w:pPr>
      <w:r>
        <w:rPr>
          <w:b/>
          <w:bCs/>
          <w:sz w:val="19"/>
          <w:szCs w:val="19"/>
        </w:rPr>
        <w:t xml:space="preserve">Figure 1. </w:t>
      </w:r>
      <w:r>
        <w:rPr>
          <w:i/>
          <w:iCs/>
          <w:color w:val="555555"/>
          <w:sz w:val="19"/>
          <w:szCs w:val="19"/>
        </w:rPr>
        <w:t xml:space="preserve">Classifier performance by era (a) and the rise in hit predictability across decades for the Random Forest (b).</w:t>
      </w:r>
    </w:p>
    <w:p>
      <w:pPr>
        <w:pStyle w:val="Heading2"/>
      </w:pPr>
      <w:r>
        <w:t xml:space="preserve">4.2 Feature importance by era</w:t>
      </w:r>
    </w:p>
    <w:p>
      <w:pPr>
        <w:spacing w:after="140"/>
      </w:pPr>
      <w:r>
        <w:t xml:space="preserve">Instrumentalness — essentially the absence of vocals — was the single most important predictor in every era, and its importance grew steadily (mean |SHAP| 0.094 → 0.118 → 0.164 from Analog to Streaming; Table 2, Figure 2). The most striking re-ordering is loudness, which climbed from the fifth most important feature in the Analog era to second in the Streaming era. Conversely, speechiness fell sharply (third to eighth) and acousticness drifted down (second to fourth), while danceability peaked in the CD/Digital era.</w:t>
      </w:r>
    </w:p>
    <w:p>
      <w:pPr>
        <w:spacing w:after="140"/>
      </w:pPr>
      <w:r>
        <w:rPr>
          <w:b/>
          <w:bCs/>
        </w:rPr>
        <w:t xml:space="preserve">Table 2. </w:t>
      </w:r>
      <w:r>
        <w:rPr>
          <w:i/>
          <w:iCs/>
          <w:color w:val="555555"/>
          <w:sz w:val="19"/>
          <w:szCs w:val="19"/>
        </w:rPr>
        <w:t xml:space="preserve">Mean absolute SHAP value (and importance rank) per feature in each era, ordered by Analog-era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shd w:fill="15212B" w:val="clear"/>
            <w:tcMar>
              <w:top w:type="dxa" w:w="70"/>
              <w:left w:type="dxa" w:w="110"/>
              <w:bottom w:type="dxa" w:w="70"/>
              <w:right w:type="dxa" w:w="110"/>
            </w:tcMar>
          </w:tcPr>
          <w:p>
            <w:r>
              <w:rPr>
                <w:b/>
                <w:bCs/>
                <w:color w:val="FFFFFF"/>
                <w:sz w:val="19"/>
                <w:szCs w:val="19"/>
              </w:rPr>
              <w:t xml:space="preserve">Feature</w:t>
            </w:r>
          </w:p>
        </w:tc>
        <w:tc>
          <w:tcPr>
            <w:tcW w:type="dxa" w:w="2400"/>
            <w:shd w:fill="15212B" w:val="clear"/>
            <w:tcMar>
              <w:top w:type="dxa" w:w="70"/>
              <w:left w:type="dxa" w:w="110"/>
              <w:bottom w:type="dxa" w:w="70"/>
              <w:right w:type="dxa" w:w="110"/>
            </w:tcMar>
          </w:tcPr>
          <w:p>
            <w:r>
              <w:rPr>
                <w:b/>
                <w:bCs/>
                <w:color w:val="FFFFFF"/>
                <w:sz w:val="19"/>
                <w:szCs w:val="19"/>
              </w:rPr>
              <w:t xml:space="preserve">Analog (1960–89)</w:t>
            </w:r>
          </w:p>
        </w:tc>
        <w:tc>
          <w:tcPr>
            <w:tcW w:type="dxa" w:w="2400"/>
            <w:shd w:fill="15212B" w:val="clear"/>
            <w:tcMar>
              <w:top w:type="dxa" w:w="70"/>
              <w:left w:type="dxa" w:w="110"/>
              <w:bottom w:type="dxa" w:w="70"/>
              <w:right w:type="dxa" w:w="110"/>
            </w:tcMar>
          </w:tcPr>
          <w:p>
            <w:r>
              <w:rPr>
                <w:b/>
                <w:bCs/>
                <w:color w:val="FFFFFF"/>
                <w:sz w:val="19"/>
                <w:szCs w:val="19"/>
              </w:rPr>
              <w:t xml:space="preserve">CD/Digital (1990–2009)</w:t>
            </w:r>
          </w:p>
        </w:tc>
        <w:tc>
          <w:tcPr>
            <w:tcW w:type="dxa" w:w="2400"/>
            <w:shd w:fill="15212B" w:val="clear"/>
            <w:tcMar>
              <w:top w:type="dxa" w:w="70"/>
              <w:left w:type="dxa" w:w="110"/>
              <w:bottom w:type="dxa" w:w="70"/>
              <w:right w:type="dxa" w:w="110"/>
            </w:tcMar>
          </w:tcPr>
          <w:p>
            <w:r>
              <w:rPr>
                <w:b/>
                <w:bCs/>
                <w:color w:val="FFFFFF"/>
                <w:sz w:val="19"/>
                <w:szCs w:val="19"/>
              </w:rPr>
              <w:t xml:space="preserve">Streaming (2010s)</w:t>
            </w:r>
          </w:p>
        </w:tc>
      </w:tr>
      <w:tr>
        <w:tc>
          <w:tcPr>
            <w:tcW w:type="dxa" w:w="2160"/>
            <w:shd w:fill="F5F6F8" w:val="clear"/>
            <w:tcMar>
              <w:top w:type="dxa" w:w="60"/>
              <w:left w:type="dxa" w:w="110"/>
              <w:bottom w:type="dxa" w:w="60"/>
              <w:right w:type="dxa" w:w="110"/>
            </w:tcMar>
          </w:tcPr>
          <w:p>
            <w:pPr>
              <w:jc w:val="left"/>
            </w:pPr>
            <w:r>
              <w:rPr>
                <w:b/>
                <w:bCs/>
                <w:color w:val="222222"/>
                <w:sz w:val="19"/>
                <w:szCs w:val="19"/>
              </w:rPr>
              <w:t xml:space="preserve">instrumentalness</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0.094  (#1)</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0.118  (#1)</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0.164  (#1)</w:t>
            </w:r>
          </w:p>
        </w:tc>
      </w:tr>
      <w:tr>
        <w:tc>
          <w:tcPr>
            <w:tcW w:type="dxa" w:w="2160"/>
            <w:tcMar>
              <w:top w:type="dxa" w:w="60"/>
              <w:left w:type="dxa" w:w="110"/>
              <w:bottom w:type="dxa" w:w="60"/>
              <w:right w:type="dxa" w:w="110"/>
            </w:tcMar>
          </w:tcPr>
          <w:p>
            <w:pPr>
              <w:jc w:val="left"/>
            </w:pPr>
            <w:r>
              <w:rPr>
                <w:b/>
                <w:bCs/>
                <w:color w:val="222222"/>
                <w:sz w:val="19"/>
                <w:szCs w:val="19"/>
              </w:rPr>
              <w:t xml:space="preserve">acousticness</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0.060  (#2)</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0.065  (#4)</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0.049  (#4)</w:t>
            </w:r>
          </w:p>
        </w:tc>
      </w:tr>
      <w:tr>
        <w:tc>
          <w:tcPr>
            <w:tcW w:type="dxa" w:w="2160"/>
            <w:shd w:fill="F5F6F8" w:val="clear"/>
            <w:tcMar>
              <w:top w:type="dxa" w:w="60"/>
              <w:left w:type="dxa" w:w="110"/>
              <w:bottom w:type="dxa" w:w="60"/>
              <w:right w:type="dxa" w:w="110"/>
            </w:tcMar>
          </w:tcPr>
          <w:p>
            <w:pPr>
              <w:jc w:val="left"/>
            </w:pPr>
            <w:r>
              <w:rPr>
                <w:b/>
                <w:bCs/>
                <w:color w:val="222222"/>
                <w:sz w:val="19"/>
                <w:szCs w:val="19"/>
              </w:rPr>
              <w:t xml:space="preserve">speechiness</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0.055  (#3)</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0.026  (#7)</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0.010  (#8)</w:t>
            </w:r>
          </w:p>
        </w:tc>
      </w:tr>
      <w:tr>
        <w:tc>
          <w:tcPr>
            <w:tcW w:type="dxa" w:w="2160"/>
            <w:tcMar>
              <w:top w:type="dxa" w:w="60"/>
              <w:left w:type="dxa" w:w="110"/>
              <w:bottom w:type="dxa" w:w="60"/>
              <w:right w:type="dxa" w:w="110"/>
            </w:tcMar>
          </w:tcPr>
          <w:p>
            <w:pPr>
              <w:jc w:val="left"/>
            </w:pPr>
            <w:r>
              <w:rPr>
                <w:b w:val="false"/>
                <w:bCs w:val="false"/>
                <w:color w:val="222222"/>
                <w:sz w:val="19"/>
                <w:szCs w:val="19"/>
              </w:rPr>
              <w:t xml:space="preserve">danceability</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0.047  (#4)</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0.093  (#2)</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0.058  (#3)</w:t>
            </w:r>
          </w:p>
        </w:tc>
      </w:tr>
      <w:tr>
        <w:tc>
          <w:tcPr>
            <w:tcW w:type="dxa" w:w="2160"/>
            <w:shd w:fill="F5F6F8" w:val="clear"/>
            <w:tcMar>
              <w:top w:type="dxa" w:w="60"/>
              <w:left w:type="dxa" w:w="110"/>
              <w:bottom w:type="dxa" w:w="60"/>
              <w:right w:type="dxa" w:w="110"/>
            </w:tcMar>
          </w:tcPr>
          <w:p>
            <w:pPr>
              <w:jc w:val="left"/>
            </w:pPr>
            <w:r>
              <w:rPr>
                <w:b w:val="false"/>
                <w:bCs w:val="false"/>
                <w:color w:val="222222"/>
                <w:sz w:val="19"/>
                <w:szCs w:val="19"/>
              </w:rPr>
              <w:t xml:space="preserve">loudness</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0.033  (#5)</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0.040  (#5)</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0.064  (#2)</w:t>
            </w:r>
          </w:p>
        </w:tc>
      </w:tr>
      <w:tr>
        <w:tc>
          <w:tcPr>
            <w:tcW w:type="dxa" w:w="2160"/>
            <w:tcMar>
              <w:top w:type="dxa" w:w="60"/>
              <w:left w:type="dxa" w:w="110"/>
              <w:bottom w:type="dxa" w:w="60"/>
              <w:right w:type="dxa" w:w="110"/>
            </w:tcMar>
          </w:tcPr>
          <w:p>
            <w:pPr>
              <w:jc w:val="left"/>
            </w:pPr>
            <w:r>
              <w:rPr>
                <w:b w:val="false"/>
                <w:bCs w:val="false"/>
                <w:color w:val="222222"/>
                <w:sz w:val="19"/>
                <w:szCs w:val="19"/>
              </w:rPr>
              <w:t xml:space="preserve">energy</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0.031  (#6)</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0.029  (#6)</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0.044  (#5)</w:t>
            </w:r>
          </w:p>
        </w:tc>
      </w:tr>
      <w:tr>
        <w:tc>
          <w:tcPr>
            <w:tcW w:type="dxa" w:w="2160"/>
            <w:shd w:fill="F5F6F8" w:val="clear"/>
            <w:tcMar>
              <w:top w:type="dxa" w:w="60"/>
              <w:left w:type="dxa" w:w="110"/>
              <w:bottom w:type="dxa" w:w="60"/>
              <w:right w:type="dxa" w:w="110"/>
            </w:tcMar>
          </w:tcPr>
          <w:p>
            <w:pPr>
              <w:jc w:val="left"/>
            </w:pPr>
            <w:r>
              <w:rPr>
                <w:b w:val="false"/>
                <w:bCs w:val="false"/>
                <w:color w:val="222222"/>
                <w:sz w:val="19"/>
                <w:szCs w:val="19"/>
              </w:rPr>
              <w:t xml:space="preserve">valence</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0.026  (#7)</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0.018  (#8)</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0.024  (#7)</w:t>
            </w:r>
          </w:p>
        </w:tc>
      </w:tr>
      <w:tr>
        <w:tc>
          <w:tcPr>
            <w:tcW w:type="dxa" w:w="2160"/>
            <w:tcMar>
              <w:top w:type="dxa" w:w="60"/>
              <w:left w:type="dxa" w:w="110"/>
              <w:bottom w:type="dxa" w:w="60"/>
              <w:right w:type="dxa" w:w="110"/>
            </w:tcMar>
          </w:tcPr>
          <w:p>
            <w:pPr>
              <w:jc w:val="left"/>
            </w:pPr>
            <w:r>
              <w:rPr>
                <w:b w:val="false"/>
                <w:bCs w:val="false"/>
                <w:color w:val="222222"/>
                <w:sz w:val="19"/>
                <w:szCs w:val="19"/>
              </w:rPr>
              <w:t xml:space="preserve">duration_ms</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0.024  (#8)</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0.067  (#3)</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0.033  (#6)</w:t>
            </w:r>
          </w:p>
        </w:tc>
      </w:tr>
      <w:tr>
        <w:tc>
          <w:tcPr>
            <w:tcW w:type="dxa" w:w="2160"/>
            <w:shd w:fill="F5F6F8" w:val="clear"/>
            <w:tcMar>
              <w:top w:type="dxa" w:w="60"/>
              <w:left w:type="dxa" w:w="110"/>
              <w:bottom w:type="dxa" w:w="60"/>
              <w:right w:type="dxa" w:w="110"/>
            </w:tcMar>
          </w:tcPr>
          <w:p>
            <w:pPr>
              <w:jc w:val="left"/>
            </w:pPr>
            <w:r>
              <w:rPr>
                <w:b w:val="false"/>
                <w:bCs w:val="false"/>
                <w:color w:val="222222"/>
                <w:sz w:val="19"/>
                <w:szCs w:val="19"/>
              </w:rPr>
              <w:t xml:space="preserve">mode</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0.018  (#9)</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0.006  (#12)</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0.001  (#15)</w:t>
            </w:r>
          </w:p>
        </w:tc>
      </w:tr>
      <w:tr>
        <w:tc>
          <w:tcPr>
            <w:tcW w:type="dxa" w:w="2160"/>
            <w:tcMar>
              <w:top w:type="dxa" w:w="60"/>
              <w:left w:type="dxa" w:w="110"/>
              <w:bottom w:type="dxa" w:w="60"/>
              <w:right w:type="dxa" w:w="110"/>
            </w:tcMar>
          </w:tcPr>
          <w:p>
            <w:pPr>
              <w:jc w:val="left"/>
            </w:pPr>
            <w:r>
              <w:rPr>
                <w:b w:val="false"/>
                <w:bCs w:val="false"/>
                <w:color w:val="222222"/>
                <w:sz w:val="19"/>
                <w:szCs w:val="19"/>
              </w:rPr>
              <w:t xml:space="preserve">sections</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0.014  (#10)</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0.014  (#9)</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0.007  (#10)</w:t>
            </w:r>
          </w:p>
        </w:tc>
      </w:tr>
      <w:tr>
        <w:tc>
          <w:tcPr>
            <w:tcW w:type="dxa" w:w="2160"/>
            <w:shd w:fill="F5F6F8" w:val="clear"/>
            <w:tcMar>
              <w:top w:type="dxa" w:w="60"/>
              <w:left w:type="dxa" w:w="110"/>
              <w:bottom w:type="dxa" w:w="60"/>
              <w:right w:type="dxa" w:w="110"/>
            </w:tcMar>
          </w:tcPr>
          <w:p>
            <w:pPr>
              <w:jc w:val="left"/>
            </w:pPr>
            <w:r>
              <w:rPr>
                <w:b w:val="false"/>
                <w:bCs w:val="false"/>
                <w:color w:val="222222"/>
                <w:sz w:val="19"/>
                <w:szCs w:val="19"/>
              </w:rPr>
              <w:t xml:space="preserve">tempo</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0.013  (#11)</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0.009  (#11)</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0.008  (#9)</w:t>
            </w:r>
          </w:p>
        </w:tc>
      </w:tr>
      <w:tr>
        <w:tc>
          <w:tcPr>
            <w:tcW w:type="dxa" w:w="2160"/>
            <w:tcMar>
              <w:top w:type="dxa" w:w="60"/>
              <w:left w:type="dxa" w:w="110"/>
              <w:bottom w:type="dxa" w:w="60"/>
              <w:right w:type="dxa" w:w="110"/>
            </w:tcMar>
          </w:tcPr>
          <w:p>
            <w:pPr>
              <w:jc w:val="left"/>
            </w:pPr>
            <w:r>
              <w:rPr>
                <w:b w:val="false"/>
                <w:bCs w:val="false"/>
                <w:color w:val="222222"/>
                <w:sz w:val="19"/>
                <w:szCs w:val="19"/>
              </w:rPr>
              <w:t xml:space="preserve">liveness</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0.010  (#12)</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0.009  (#10)</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0.007  (#11)</w:t>
            </w:r>
          </w:p>
        </w:tc>
      </w:tr>
      <w:tr>
        <w:tc>
          <w:tcPr>
            <w:tcW w:type="dxa" w:w="2160"/>
            <w:shd w:fill="F5F6F8" w:val="clear"/>
            <w:tcMar>
              <w:top w:type="dxa" w:w="60"/>
              <w:left w:type="dxa" w:w="110"/>
              <w:bottom w:type="dxa" w:w="60"/>
              <w:right w:type="dxa" w:w="110"/>
            </w:tcMar>
          </w:tcPr>
          <w:p>
            <w:pPr>
              <w:jc w:val="left"/>
            </w:pPr>
            <w:r>
              <w:rPr>
                <w:b w:val="false"/>
                <w:bCs w:val="false"/>
                <w:color w:val="222222"/>
                <w:sz w:val="19"/>
                <w:szCs w:val="19"/>
              </w:rPr>
              <w:t xml:space="preserve">time_signature</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0.005  (#13)</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0.002  (#15)</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0.004  (#13)</w:t>
            </w:r>
          </w:p>
        </w:tc>
      </w:tr>
      <w:tr>
        <w:tc>
          <w:tcPr>
            <w:tcW w:type="dxa" w:w="2160"/>
            <w:tcMar>
              <w:top w:type="dxa" w:w="60"/>
              <w:left w:type="dxa" w:w="110"/>
              <w:bottom w:type="dxa" w:w="60"/>
              <w:right w:type="dxa" w:w="110"/>
            </w:tcMar>
          </w:tcPr>
          <w:p>
            <w:pPr>
              <w:jc w:val="left"/>
            </w:pPr>
            <w:r>
              <w:rPr>
                <w:b w:val="false"/>
                <w:bCs w:val="false"/>
                <w:color w:val="222222"/>
                <w:sz w:val="19"/>
                <w:szCs w:val="19"/>
              </w:rPr>
              <w:t xml:space="preserve">chorus_hit</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0.004  (#14)</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0.005  (#13)</w:t>
            </w:r>
          </w:p>
        </w:tc>
        <w:tc>
          <w:tcPr>
            <w:tcW w:type="dxa" w:w="2400"/>
            <w:tcMar>
              <w:top w:type="dxa" w:w="60"/>
              <w:left w:type="dxa" w:w="110"/>
              <w:bottom w:type="dxa" w:w="60"/>
              <w:right w:type="dxa" w:w="110"/>
            </w:tcMar>
          </w:tcPr>
          <w:p>
            <w:pPr>
              <w:jc w:val="center"/>
            </w:pPr>
            <w:r>
              <w:rPr>
                <w:b w:val="false"/>
                <w:bCs w:val="false"/>
                <w:color w:val="222222"/>
                <w:sz w:val="19"/>
                <w:szCs w:val="19"/>
              </w:rPr>
              <w:t xml:space="preserve">0.006  (#12)</w:t>
            </w:r>
          </w:p>
        </w:tc>
      </w:tr>
      <w:tr>
        <w:tc>
          <w:tcPr>
            <w:tcW w:type="dxa" w:w="2160"/>
            <w:shd w:fill="F5F6F8" w:val="clear"/>
            <w:tcMar>
              <w:top w:type="dxa" w:w="60"/>
              <w:left w:type="dxa" w:w="110"/>
              <w:bottom w:type="dxa" w:w="60"/>
              <w:right w:type="dxa" w:w="110"/>
            </w:tcMar>
          </w:tcPr>
          <w:p>
            <w:pPr>
              <w:jc w:val="left"/>
            </w:pPr>
            <w:r>
              <w:rPr>
                <w:b w:val="false"/>
                <w:bCs w:val="false"/>
                <w:color w:val="222222"/>
                <w:sz w:val="19"/>
                <w:szCs w:val="19"/>
              </w:rPr>
              <w:t xml:space="preserve">key</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0.003  (#15)</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0.003  (#14)</w:t>
            </w:r>
          </w:p>
        </w:tc>
        <w:tc>
          <w:tcPr>
            <w:tcW w:type="dxa" w:w="2400"/>
            <w:shd w:fill="F5F6F8" w:val="clear"/>
            <w:tcMar>
              <w:top w:type="dxa" w:w="60"/>
              <w:left w:type="dxa" w:w="110"/>
              <w:bottom w:type="dxa" w:w="60"/>
              <w:right w:type="dxa" w:w="110"/>
            </w:tcMar>
          </w:tcPr>
          <w:p>
            <w:pPr>
              <w:jc w:val="center"/>
            </w:pPr>
            <w:r>
              <w:rPr>
                <w:b w:val="false"/>
                <w:bCs w:val="false"/>
                <w:color w:val="222222"/>
                <w:sz w:val="19"/>
                <w:szCs w:val="19"/>
              </w:rPr>
              <w:t xml:space="preserve">0.004  (#14)</w:t>
            </w:r>
          </w:p>
        </w:tc>
      </w:tr>
    </w:tbl>
    <w:p>
      <w:pPr>
        <w:spacing w:after="60" w:before="160"/>
        <w:jc w:val="center"/>
      </w:pPr>
      <w:r>
        <w:drawing>
          <wp:inline distT="0" distB="0" distL="0" distR="0">
            <wp:extent cx="4267200" cy="3381375"/>
            <wp:effectExtent t="0" r="0" b="0" l="0"/>
            <wp:docPr id="1" name="Figure 2" descr="Feature importance (mean |SHAP|) by era. Darker cells mark stronger influence on the hit predic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67200" cy="3381375"/>
                    </a:xfrm>
                    <a:prstGeom prst="rect">
                      <a:avLst/>
                    </a:prstGeom>
                  </pic:spPr>
                </pic:pic>
              </a:graphicData>
            </a:graphic>
          </wp:inline>
        </w:drawing>
      </w:r>
    </w:p>
    <w:p>
      <w:pPr>
        <w:spacing w:after="200"/>
        <w:jc w:val="center"/>
      </w:pPr>
      <w:r>
        <w:rPr>
          <w:b/>
          <w:bCs/>
          <w:sz w:val="19"/>
          <w:szCs w:val="19"/>
        </w:rPr>
        <w:t xml:space="preserve">Figure 2. </w:t>
      </w:r>
      <w:r>
        <w:rPr>
          <w:i/>
          <w:iCs/>
          <w:color w:val="555555"/>
          <w:sz w:val="19"/>
          <w:szCs w:val="19"/>
        </w:rPr>
        <w:t xml:space="preserve">Feature importance (mean |SHAP|) by era. Darker cells mark stronger influence on the hit prediction.</w:t>
      </w:r>
    </w:p>
    <w:p>
      <w:pPr>
        <w:pStyle w:val="Heading2"/>
      </w:pPr>
      <w:r>
        <w:t xml:space="preserve">4.3 Trend across decades</w:t>
      </w:r>
    </w:p>
    <w:p>
      <w:pPr>
        <w:spacing w:after="140"/>
      </w:pPr>
      <w:r>
        <w:t xml:space="preserve">The decade-level view (Figure 3) shows these shifts as smooth trajectories rather than abrupt jumps: instrumentalness rises throughout and accelerates after the 1990s; loudness climbs steadily from the 1990s onward; while danceability and song-duration importance peak around the 1990s and then recede.</w:t>
      </w:r>
    </w:p>
    <w:p>
      <w:pPr>
        <w:spacing w:after="60" w:before="160"/>
        <w:jc w:val="center"/>
      </w:pPr>
      <w:r>
        <w:drawing>
          <wp:inline distT="0" distB="0" distL="0" distR="0">
            <wp:extent cx="5829300" cy="4076700"/>
            <wp:effectExtent t="0" r="0" b="0" l="0"/>
            <wp:docPr id="1" name="Figure 3" descr="How feature importance (mean |SHAP|) shifts across the six decades, shaded by era."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4076700"/>
                    </a:xfrm>
                    <a:prstGeom prst="rect">
                      <a:avLst/>
                    </a:prstGeom>
                  </pic:spPr>
                </pic:pic>
              </a:graphicData>
            </a:graphic>
          </wp:inline>
        </w:drawing>
      </w:r>
    </w:p>
    <w:p>
      <w:pPr>
        <w:spacing w:after="200"/>
        <w:jc w:val="center"/>
      </w:pPr>
      <w:r>
        <w:rPr>
          <w:b/>
          <w:bCs/>
          <w:sz w:val="19"/>
          <w:szCs w:val="19"/>
        </w:rPr>
        <w:t xml:space="preserve">Figure 3. </w:t>
      </w:r>
      <w:r>
        <w:rPr>
          <w:i/>
          <w:iCs/>
          <w:color w:val="555555"/>
          <w:sz w:val="19"/>
          <w:szCs w:val="19"/>
        </w:rPr>
        <w:t xml:space="preserve">How feature importance (mean |SHAP|) shifts across the six decades, shaded by era.</w:t>
      </w:r>
    </w:p>
    <w:p>
      <w:pPr>
        <w:pStyle w:val="Heading2"/>
      </w:pPr>
      <w:r>
        <w:t xml:space="preserve">4.4 Direction of effect</w:t>
      </w:r>
    </w:p>
    <w:p>
      <w:pPr>
        <w:spacing w:after="140"/>
      </w:pPr>
      <w:r>
        <w:t xml:space="preserve">Standardised logistic-regression coefficients (Figure 4) make the direction explicit and show it intensifying over time: high instrumentalness pushes strongly toward flop (coefficient −0.82 in the Analog era, deepening to −2.42 in the Streaming era), while high loudness increasingly pushes toward hit (+0.28 → +1.93). In short, the modern hit is reliably vocal-forward and loud. The SHAP beeswarm plots in the accompanying interactive dashboard confirm this at the level of individual tracks.</w:t>
      </w:r>
    </w:p>
    <w:p>
      <w:pPr>
        <w:spacing w:after="60" w:before="160"/>
        <w:jc w:val="center"/>
      </w:pPr>
      <w:r>
        <w:drawing>
          <wp:inline distT="0" distB="0" distL="0" distR="0">
            <wp:extent cx="4343400" cy="3562350"/>
            <wp:effectExtent t="0" r="0" b="0" l="0"/>
            <wp:docPr id="1" name="Figure 4" descr="Direction of effect by era (standardised logistic-regression coefficients). Blue pushes toward hit, red toward flop."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43400" cy="3562350"/>
                    </a:xfrm>
                    <a:prstGeom prst="rect">
                      <a:avLst/>
                    </a:prstGeom>
                  </pic:spPr>
                </pic:pic>
              </a:graphicData>
            </a:graphic>
          </wp:inline>
        </w:drawing>
      </w:r>
    </w:p>
    <w:p>
      <w:pPr>
        <w:spacing w:after="200"/>
        <w:jc w:val="center"/>
      </w:pPr>
      <w:r>
        <w:rPr>
          <w:b/>
          <w:bCs/>
          <w:sz w:val="19"/>
          <w:szCs w:val="19"/>
        </w:rPr>
        <w:t xml:space="preserve">Figure 4. </w:t>
      </w:r>
      <w:r>
        <w:rPr>
          <w:i/>
          <w:iCs/>
          <w:color w:val="555555"/>
          <w:sz w:val="19"/>
          <w:szCs w:val="19"/>
        </w:rPr>
        <w:t xml:space="preserve">Direction of effect by era (standardised logistic-regression coefficients). Blue pushes toward hit, red toward flop.</w:t>
      </w:r>
    </w:p>
    <w:p>
      <w:pPr>
        <w:pStyle w:val="Heading1"/>
      </w:pPr>
      <w:r>
        <w:t xml:space="preserve">5. Discussion</w:t>
      </w:r>
    </w:p>
    <w:p>
      <w:pPr>
        <w:spacing w:after="140"/>
      </w:pPr>
      <w:r>
        <w:t xml:space="preserve">The results tell a coherent story that maps onto known shifts in music production and distribution. The growing importance and steepening penalty of instrumentalness reflect an increasingly vocal-centric, song-over-composition pop market. The sharp rise of loudness is consistent with the well-documented “loudness war” and streaming-era mastering practices, where higher perceived loudness aids engagement. The decline of acousticness and speechiness, together with the mid-period prominence of danceability, aligns with the rise of electronic, dance-oriented production through the 1990s and 2000s. Finally, the overall increase in predictability suggests that the audio signature of a commercial hit has become more standardised: the features Spotify measures separate hits from flops more cleanly in the streaming era than they did in the 1960s.</w:t>
      </w:r>
    </w:p>
    <w:p>
      <w:pPr>
        <w:pStyle w:val="Heading1"/>
      </w:pPr>
      <w:r>
        <w:t xml:space="preserve">6. Limitations</w:t>
      </w:r>
    </w:p>
    <w:p>
      <w:pPr>
        <w:pStyle w:val="ListParagraph"/>
        <w:numPr>
          <w:ilvl w:val="0"/>
          <w:numId w:val="2"/>
        </w:numPr>
        <w:spacing w:after="80"/>
      </w:pPr>
      <w:r>
        <w:rPr>
          <w:b/>
          <w:bCs/>
        </w:rPr>
        <w:t xml:space="preserve">Balanced sampling.</w:t>
      </w:r>
      <w:r>
        <w:t xml:space="preserve"> The dataset is 50/50 hit/flop by construction, so reported accuracies do not reflect real-world base rates (hits are rare); ROC-AUC and the relative feature comparisons are the more meaningful outputs.</w:t>
      </w:r>
    </w:p>
    <w:p>
      <w:pPr>
        <w:pStyle w:val="ListParagraph"/>
        <w:numPr>
          <w:ilvl w:val="0"/>
          <w:numId w:val="2"/>
        </w:numPr>
        <w:spacing w:after="80"/>
      </w:pPr>
      <w:r>
        <w:rPr>
          <w:b/>
          <w:bCs/>
        </w:rPr>
        <w:t xml:space="preserve">Era as a decade proxy.</w:t>
      </w:r>
      <w:r>
        <w:t xml:space="preserve"> Precise release years are not provided, so era boundaries follow the decade files rather than externally dated industry events.</w:t>
      </w:r>
    </w:p>
    <w:p>
      <w:pPr>
        <w:pStyle w:val="ListParagraph"/>
        <w:numPr>
          <w:ilvl w:val="0"/>
          <w:numId w:val="2"/>
        </w:numPr>
        <w:spacing w:after="80"/>
      </w:pPr>
      <w:r>
        <w:rPr>
          <w:b/>
          <w:bCs/>
        </w:rPr>
        <w:t xml:space="preserve">Encoding of key.</w:t>
      </w:r>
      <w:r>
        <w:t xml:space="preserve"> Musical key was treated as an ordinal numeric rather than one-hot encoded — a minor simplification, given its consistently low importance.</w:t>
      </w:r>
    </w:p>
    <w:p>
      <w:pPr>
        <w:pStyle w:val="ListParagraph"/>
        <w:numPr>
          <w:ilvl w:val="0"/>
          <w:numId w:val="2"/>
        </w:numPr>
        <w:spacing w:after="80"/>
      </w:pPr>
      <w:r>
        <w:rPr>
          <w:b/>
          <w:bCs/>
        </w:rPr>
        <w:t xml:space="preserve">Retained noise.</w:t>
      </w:r>
      <w:r>
        <w:t xml:space="preserve"> Cross-decade duplicate tracks (~1.3%) and a few extreme audio outliers (e.g., very long durations) were kept rather than removed.</w:t>
      </w:r>
    </w:p>
    <w:p>
      <w:pPr>
        <w:pStyle w:val="ListParagraph"/>
        <w:numPr>
          <w:ilvl w:val="0"/>
          <w:numId w:val="2"/>
        </w:numPr>
        <w:spacing w:after="80"/>
      </w:pPr>
      <w:r>
        <w:rPr>
          <w:b/>
          <w:bCs/>
        </w:rPr>
        <w:t xml:space="preserve">Association, not causation.</w:t>
      </w:r>
      <w:r>
        <w:t xml:space="preserve"> SHAP describes feature influence within the model, not causal effects; both the definition of a “hit” and Spotify's audio-feature extraction may themselves vary across eras.</w:t>
      </w:r>
    </w:p>
    <w:p>
      <w:pPr>
        <w:pStyle w:val="Heading1"/>
      </w:pPr>
      <w:r>
        <w:t xml:space="preserve">7. Conclusion</w:t>
      </w:r>
    </w:p>
    <w:p>
      <w:pPr>
        <w:spacing w:after="140"/>
      </w:pPr>
      <w:r>
        <w:t xml:space="preserve">A Random Forest predicts Billboard chart success from Spotify audio features well, and consistently better than Logistic Regression or KNN, reaching ROC-AUC ≈ 0.92 in the modern era. More importantly, the drivers of success are not static: vocal presence (instrumentalness) and loudness have become steadily more decisive into the streaming era, while speechiness and acousticness have faded. Modelling each era separately and comparing SHAP importance turns a routine classifier benchmark into evidence about how the sound of a hit has changed across six decades.</w:t>
      </w:r>
    </w:p>
    <w:p>
      <w:pPr>
        <w:pStyle w:val="Heading1"/>
      </w:pPr>
      <w:r>
        <w:t xml:space="preserve">References</w:t>
      </w:r>
    </w:p>
    <w:p>
      <w:pPr>
        <w:spacing w:after="120"/>
      </w:pPr>
      <w:r>
        <w:t xml:space="preserve">IFPI. (2025). </w:t>
      </w:r>
      <w:r>
        <w:rPr>
          <w:i/>
          <w:iCs/>
        </w:rPr>
        <w:t xml:space="preserve">Global Music Report 2025</w:t>
      </w:r>
      <w:r>
        <w:t xml:space="preserve">: global recorded music revenues grew 4.8% in 2024. </w:t>
      </w:r>
      <w:hyperlink w:history="1" r:id="rId9kypaue2pi6uruhr6yipl">
        <w:r>
          <w:rPr>
            <w:rStyle w:val="Hyperlink"/>
          </w:rPr>
          <w:t xml:space="preserve">ifpi.org</w:t>
        </w:r>
      </w:hyperlink>
    </w:p>
    <w:p>
      <w:pPr>
        <w:spacing w:after="120"/>
      </w:pPr>
      <w:r>
        <w:t xml:space="preserve">theoverman. </w:t>
      </w:r>
      <w:r>
        <w:rPr>
          <w:i/>
          <w:iCs/>
        </w:rPr>
        <w:t xml:space="preserve">The Spotify Hit Predictor Dataset (1960–2019)</w:t>
      </w:r>
      <w:r>
        <w:t xml:space="preserve">. Kaggle. </w:t>
      </w:r>
      <w:hyperlink w:history="1" r:id="rIds4w1fnvyvsa78m8f9sjkn">
        <w:r>
          <w:rPr>
            <w:rStyle w:val="Hyperlink"/>
          </w:rPr>
          <w:t xml:space="preserve">kaggle.com</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Spotify Hit Predictor — cross-era analysis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5212B"/>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kypaue2pi6uruhr6yipl" Type="http://schemas.openxmlformats.org/officeDocument/2006/relationships/hyperlink" Target="https://www.ifpi.org/ifpi-amidst-highly-competitive-market-global-recorded-music-revenues-grew-4-8-in-2024/" TargetMode="External"/><Relationship Id="rIds4w1fnvyvsa78m8f9sjkn" Type="http://schemas.openxmlformats.org/officeDocument/2006/relationships/hyperlink" Target="https://www.kaggle.com/datasets/theoverman/the-spotify-hit-predictor-dataset" TargetMode="External"/><Relationship Id="rId8" Type="http://schemas.openxmlformats.org/officeDocument/2006/relationships/image" Target="media/a85f91c9669c7112c2965b22c8ed68fabd4f16c8.png"/><Relationship Id="rId9" Type="http://schemas.openxmlformats.org/officeDocument/2006/relationships/image" Target="media/3260ac90dd395ea46345b977c324edc3ada9738d.png"/><Relationship Id="rId10" Type="http://schemas.openxmlformats.org/officeDocument/2006/relationships/image" Target="media/207734a27dff3c92614a94baf542e4d026efc397.png"/><Relationship Id="rId11" Type="http://schemas.openxmlformats.org/officeDocument/2006/relationships/image" Target="media/7184085fe12e36e72e4c344e7d5e122bad2105f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2026-06-19T16:24:21.593Z</dcterms:created>
  <dcterms:modified xsi:type="dcterms:W3CDTF">2026-06-19T16:24:21.593Z</dcterms:modified>
</cp:coreProperties>
</file>

<file path=docProps/custom.xml><?xml version="1.0" encoding="utf-8"?>
<Properties xmlns="http://schemas.openxmlformats.org/officeDocument/2006/custom-properties" xmlns:vt="http://schemas.openxmlformats.org/officeDocument/2006/docPropsVTypes"/>
</file>