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4"/>
          <w:szCs w:val="34"/>
        </w:rPr>
        <w:t xml:space="preserve">Hit or Flop? Predicting Billboard Chart Success from Spotify Audio Features, 1960–2019</w:t>
      </w:r>
    </w:p>
    <w:p>
      <w:pPr>
        <w:spacing w:after="40"/>
        <w:jc w:val="center"/>
      </w:pPr>
      <w:r>
        <w:rPr>
          <w:i/>
          <w:iCs/>
          <w:color w:val="555555"/>
          <w:sz w:val="24"/>
          <w:szCs w:val="24"/>
        </w:rPr>
        <w:t xml:space="preserve">A cross-era comparison of tuned classifiers and feature importance (SHAP)</w:t>
      </w:r>
    </w:p>
    <w:p>
      <w:pPr>
        <w:pBdr>
          <w:bottom w:val="single" w:color="2D6A4F" w:sz="6" w:space="6"/>
        </w:pBdr>
        <w:spacing w:after="240"/>
        <w:jc w:val="center"/>
      </w:pPr>
      <w:r>
        <w:rPr>
          <w:color w:val="777777"/>
          <w:sz w:val="18"/>
          <w:szCs w:val="18"/>
        </w:rPr>
        <w:t xml:space="preserve">Classification · Spotify Hit Predictor Dataset (Kaggle) · 41,103 tracks</w:t>
      </w:r>
    </w:p>
    <w:p>
      <w:pPr>
        <w:pStyle w:val="Heading1"/>
      </w:pPr>
      <w:r>
        <w:t xml:space="preserve">1. Introduction</w:t>
      </w:r>
    </w:p>
    <w:p>
      <w:pPr>
        <w:spacing w:after="140"/>
      </w:pPr>
      <w:r>
        <w:t xml:space="preserve">Recorded-music revenue reached US$29.6 billion in 2024, up 4.8% year on year, with paid streaming subscriptions rising 10.6% to 752 million users worldwide (IFPI, 2025). In a market where a small share of tracks captures a disproportionate share of attention and revenue, understanding what makes a hit is commercially central.</w:t>
      </w:r>
    </w:p>
    <w:p>
      <w:pPr>
        <w:spacing w:after="140"/>
      </w:pPr>
      <w:r>
        <w:t xml:space="preserve">This study asks two linked questions. First, which classifier — Logistic Regression, Random Forest, or K-Nearest Neighbours — best predicts whether a track reached the Billboard Hot 100 from its Spotify audio features? Second, which features matter most, and does their importance shift across musical eras from 1960 to 2019? Rather than treating the task as a single static problem, we model each era separately and compare feature importance (via SHAP) across eras, turning a model comparison into a study of how the determinants of commercial success have evolved.</w:t>
      </w:r>
    </w:p>
    <w:p>
      <w:pPr>
        <w:pStyle w:val="Heading1"/>
      </w:pPr>
      <w:r>
        <w:t xml:space="preserve">2. Data</w:t>
      </w:r>
    </w:p>
    <w:p>
      <w:pPr>
        <w:spacing w:after="140"/>
      </w:pPr>
      <w:r>
        <w:t xml:space="preserve">The Spotify Hit Predictor Dataset (1960–2019; Kaggle, theoverman) labels 41,106 tracks as hit (reached the Billboard Hot 100) or flop, each described by Spotify audio features. The data are distributed as six per-decade files (1960s–2010s) and are exactly balanced (50% hit, 50% flop) within every decade. After removing three records with invalid sensor readings (a tempo or time-signature of zero), 41,103 tracks remained. We retained fifteen numeric audio and structural features: danceability, energy, key, loudness, mode, speechiness, acousticness, instrumentalness, liveness, valence, tempo, duration, time-signature, chorus-hit location, and number of sections; track, artist, and URI identifiers were dropped.</w:t>
      </w:r>
    </w:p>
    <w:p>
      <w:pPr>
        <w:spacing w:after="140"/>
      </w:pPr>
      <w:r>
        <w:rPr>
          <w:b/>
          <w:bCs/>
        </w:rPr>
        <w:t xml:space="preserve">Era grouping. </w:t>
      </w:r>
      <w:r>
        <w:t xml:space="preserve">To keep the number of models manageable and the comparison interpretable, the six decades were grouped into three industry eras reflecting the dominant distribution medium: an Analog era (1960–1989; n = 23,315), a CD/Digital era (1990–2009; n = 11,391), and a Streaming era (2010–2019; n = 6,397). Per-decade models were also fitted to trace finer-grained trends.</w:t>
      </w:r>
    </w:p>
    <w:p>
      <w:pPr>
        <w:pStyle w:val="Heading1"/>
      </w:pPr>
      <w:r>
        <w:t xml:space="preserve">3. Exploratory Data Analysis</w:t>
      </w:r>
    </w:p>
    <w:p>
      <w:pPr>
        <w:spacing w:after="140"/>
      </w:pPr>
      <w:r>
        <w:t xml:space="preserve">Before modelling, we profiled the features and how they separate hits from flops. Table 1 reports summary statistics for the fifteen features across all 41,103 tracks. The data contain no missing values; a few features (notably duration, sections, and chorus-hit location) carry extreme right-tail outliers, and key, mode, and time-signature are discrete.</w:t>
      </w:r>
    </w:p>
    <w:p>
      <w:pPr>
        <w:spacing w:after="120"/>
      </w:pPr>
      <w:r>
        <w:rPr>
          <w:b/>
          <w:bCs/>
          <w:sz w:val="19"/>
          <w:szCs w:val="19"/>
        </w:rPr>
        <w:t xml:space="preserve">Table 1. </w:t>
      </w:r>
      <w:r>
        <w:rPr>
          <w:i/>
          <w:iCs/>
          <w:color w:val="555555"/>
          <w:sz w:val="19"/>
          <w:szCs w:val="19"/>
        </w:rPr>
        <w:t xml:space="preserve">Descriptive statistics for the fifteen audio features (all 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32"/>
        <w:gridCol w:w="1432"/>
        <w:gridCol w:w="1432"/>
        <w:gridCol w:w="1432"/>
        <w:gridCol w:w="1432"/>
      </w:tblGrid>
      <w:tr>
        <w:trPr>
          <w:tblHeader/>
        </w:trPr>
        <w:tc>
          <w:tcPr>
            <w:tcW w:type="dxa" w:w="2200"/>
            <w:shd w:fill="15212B" w:val="clear"/>
            <w:tcMar>
              <w:top w:type="dxa" w:w="70"/>
              <w:left w:type="dxa" w:w="110"/>
              <w:bottom w:type="dxa" w:w="70"/>
              <w:right w:type="dxa" w:w="110"/>
            </w:tcMar>
          </w:tcPr>
          <w:p>
            <w:r>
              <w:rPr>
                <w:b/>
                <w:bCs/>
                <w:color w:val="FFFFFF"/>
                <w:sz w:val="18"/>
                <w:szCs w:val="18"/>
              </w:rPr>
              <w:t xml:space="preserve">Feature</w:t>
            </w:r>
          </w:p>
        </w:tc>
        <w:tc>
          <w:tcPr>
            <w:tcW w:type="dxa" w:w="1432"/>
            <w:shd w:fill="15212B" w:val="clear"/>
            <w:tcMar>
              <w:top w:type="dxa" w:w="70"/>
              <w:left w:type="dxa" w:w="110"/>
              <w:bottom w:type="dxa" w:w="70"/>
              <w:right w:type="dxa" w:w="110"/>
            </w:tcMar>
          </w:tcPr>
          <w:p>
            <w:r>
              <w:rPr>
                <w:b/>
                <w:bCs/>
                <w:color w:val="FFFFFF"/>
                <w:sz w:val="18"/>
                <w:szCs w:val="18"/>
              </w:rPr>
              <w:t xml:space="preserve">Mean</w:t>
            </w:r>
          </w:p>
        </w:tc>
        <w:tc>
          <w:tcPr>
            <w:tcW w:type="dxa" w:w="1432"/>
            <w:shd w:fill="15212B" w:val="clear"/>
            <w:tcMar>
              <w:top w:type="dxa" w:w="70"/>
              <w:left w:type="dxa" w:w="110"/>
              <w:bottom w:type="dxa" w:w="70"/>
              <w:right w:type="dxa" w:w="110"/>
            </w:tcMar>
          </w:tcPr>
          <w:p>
            <w:r>
              <w:rPr>
                <w:b/>
                <w:bCs/>
                <w:color w:val="FFFFFF"/>
                <w:sz w:val="18"/>
                <w:szCs w:val="18"/>
              </w:rPr>
              <w:t xml:space="preserve">SD</w:t>
            </w:r>
          </w:p>
        </w:tc>
        <w:tc>
          <w:tcPr>
            <w:tcW w:type="dxa" w:w="1432"/>
            <w:shd w:fill="15212B" w:val="clear"/>
            <w:tcMar>
              <w:top w:type="dxa" w:w="70"/>
              <w:left w:type="dxa" w:w="110"/>
              <w:bottom w:type="dxa" w:w="70"/>
              <w:right w:type="dxa" w:w="110"/>
            </w:tcMar>
          </w:tcPr>
          <w:p>
            <w:r>
              <w:rPr>
                <w:b/>
                <w:bCs/>
                <w:color w:val="FFFFFF"/>
                <w:sz w:val="18"/>
                <w:szCs w:val="18"/>
              </w:rPr>
              <w:t xml:space="preserve">Min</w:t>
            </w:r>
          </w:p>
        </w:tc>
        <w:tc>
          <w:tcPr>
            <w:tcW w:type="dxa" w:w="1432"/>
            <w:shd w:fill="15212B" w:val="clear"/>
            <w:tcMar>
              <w:top w:type="dxa" w:w="70"/>
              <w:left w:type="dxa" w:w="110"/>
              <w:bottom w:type="dxa" w:w="70"/>
              <w:right w:type="dxa" w:w="110"/>
            </w:tcMar>
          </w:tcPr>
          <w:p>
            <w:r>
              <w:rPr>
                <w:b/>
                <w:bCs/>
                <w:color w:val="FFFFFF"/>
                <w:sz w:val="18"/>
                <w:szCs w:val="18"/>
              </w:rPr>
              <w:t xml:space="preserve">Median</w:t>
            </w:r>
          </w:p>
        </w:tc>
        <w:tc>
          <w:tcPr>
            <w:tcW w:type="dxa" w:w="1432"/>
            <w:shd w:fill="15212B" w:val="clear"/>
            <w:tcMar>
              <w:top w:type="dxa" w:w="70"/>
              <w:left w:type="dxa" w:w="110"/>
              <w:bottom w:type="dxa" w:w="70"/>
              <w:right w:type="dxa" w:w="110"/>
            </w:tcMar>
          </w:tcPr>
          <w:p>
            <w:r>
              <w:rPr>
                <w:b/>
                <w:bCs/>
                <w:color w:val="FFFFFF"/>
                <w:sz w:val="18"/>
                <w:szCs w:val="18"/>
              </w:rPr>
              <w:t xml:space="preserve">Max</w:t>
            </w:r>
          </w:p>
        </w:tc>
      </w:tr>
      <w:tr>
        <w:tc>
          <w:tcPr>
            <w:tcW w:type="dxa" w:w="2200"/>
            <w:shd w:fill="F5F6F8" w:val="clear"/>
            <w:tcMar>
              <w:top w:type="dxa" w:w="60"/>
              <w:left w:type="dxa" w:w="110"/>
              <w:bottom w:type="dxa" w:w="60"/>
              <w:right w:type="dxa" w:w="110"/>
            </w:tcMar>
          </w:tcPr>
          <w:p>
            <w:pPr>
              <w:jc w:val="left"/>
            </w:pPr>
            <w:r>
              <w:rPr>
                <w:b w:val="false"/>
                <w:bCs w:val="false"/>
                <w:color w:val="222222"/>
                <w:sz w:val="18"/>
                <w:szCs w:val="18"/>
              </w:rPr>
              <w:t xml:space="preserve">danceability</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0.54</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0.178</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0.058</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0.552</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0.988</w:t>
            </w:r>
          </w:p>
        </w:tc>
      </w:tr>
      <w:tr>
        <w:tc>
          <w:tcPr>
            <w:tcW w:type="dxa" w:w="2200"/>
            <w:tcMar>
              <w:top w:type="dxa" w:w="60"/>
              <w:left w:type="dxa" w:w="110"/>
              <w:bottom w:type="dxa" w:w="60"/>
              <w:right w:type="dxa" w:w="110"/>
            </w:tcMar>
          </w:tcPr>
          <w:p>
            <w:pPr>
              <w:jc w:val="left"/>
            </w:pPr>
            <w:r>
              <w:rPr>
                <w:b w:val="false"/>
                <w:bCs w:val="false"/>
                <w:color w:val="222222"/>
                <w:sz w:val="18"/>
                <w:szCs w:val="18"/>
              </w:rPr>
              <w:t xml:space="preserve">energy</w:t>
            </w:r>
          </w:p>
        </w:tc>
        <w:tc>
          <w:tcPr>
            <w:tcW w:type="dxa" w:w="1432"/>
            <w:tcMar>
              <w:top w:type="dxa" w:w="60"/>
              <w:left w:type="dxa" w:w="110"/>
              <w:bottom w:type="dxa" w:w="60"/>
              <w:right w:type="dxa" w:w="110"/>
            </w:tcMar>
          </w:tcPr>
          <w:p>
            <w:pPr>
              <w:jc w:val="center"/>
            </w:pPr>
            <w:r>
              <w:rPr>
                <w:b w:val="false"/>
                <w:bCs w:val="false"/>
                <w:color w:val="222222"/>
                <w:sz w:val="18"/>
                <w:szCs w:val="18"/>
              </w:rPr>
              <w:t xml:space="preserve">0.58</w:t>
            </w:r>
          </w:p>
        </w:tc>
        <w:tc>
          <w:tcPr>
            <w:tcW w:type="dxa" w:w="1432"/>
            <w:tcMar>
              <w:top w:type="dxa" w:w="60"/>
              <w:left w:type="dxa" w:w="110"/>
              <w:bottom w:type="dxa" w:w="60"/>
              <w:right w:type="dxa" w:w="110"/>
            </w:tcMar>
          </w:tcPr>
          <w:p>
            <w:pPr>
              <w:jc w:val="center"/>
            </w:pPr>
            <w:r>
              <w:rPr>
                <w:b w:val="false"/>
                <w:bCs w:val="false"/>
                <w:color w:val="222222"/>
                <w:sz w:val="18"/>
                <w:szCs w:val="18"/>
              </w:rPr>
              <w:t xml:space="preserve">0.253</w:t>
            </w:r>
          </w:p>
        </w:tc>
        <w:tc>
          <w:tcPr>
            <w:tcW w:type="dxa" w:w="1432"/>
            <w:tcMar>
              <w:top w:type="dxa" w:w="60"/>
              <w:left w:type="dxa" w:w="110"/>
              <w:bottom w:type="dxa" w:w="60"/>
              <w:right w:type="dxa" w:w="110"/>
            </w:tcMar>
          </w:tcPr>
          <w:p>
            <w:pPr>
              <w:jc w:val="center"/>
            </w:pPr>
            <w:r>
              <w:rPr>
                <w:b w:val="false"/>
                <w:bCs w:val="false"/>
                <w:color w:val="222222"/>
                <w:sz w:val="18"/>
                <w:szCs w:val="18"/>
              </w:rPr>
              <w:t xml:space="preserve">0</w:t>
            </w:r>
          </w:p>
        </w:tc>
        <w:tc>
          <w:tcPr>
            <w:tcW w:type="dxa" w:w="1432"/>
            <w:tcMar>
              <w:top w:type="dxa" w:w="60"/>
              <w:left w:type="dxa" w:w="110"/>
              <w:bottom w:type="dxa" w:w="60"/>
              <w:right w:type="dxa" w:w="110"/>
            </w:tcMar>
          </w:tcPr>
          <w:p>
            <w:pPr>
              <w:jc w:val="center"/>
            </w:pPr>
            <w:r>
              <w:rPr>
                <w:b w:val="false"/>
                <w:bCs w:val="false"/>
                <w:color w:val="222222"/>
                <w:sz w:val="18"/>
                <w:szCs w:val="18"/>
              </w:rPr>
              <w:t xml:space="preserve">0.601</w:t>
            </w:r>
          </w:p>
        </w:tc>
        <w:tc>
          <w:tcPr>
            <w:tcW w:type="dxa" w:w="1432"/>
            <w:tcMar>
              <w:top w:type="dxa" w:w="60"/>
              <w:left w:type="dxa" w:w="110"/>
              <w:bottom w:type="dxa" w:w="60"/>
              <w:right w:type="dxa" w:w="110"/>
            </w:tcMar>
          </w:tcPr>
          <w:p>
            <w:pPr>
              <w:jc w:val="center"/>
            </w:pPr>
            <w:r>
              <w:rPr>
                <w:b w:val="false"/>
                <w:bCs w:val="false"/>
                <w:color w:val="222222"/>
                <w:sz w:val="18"/>
                <w:szCs w:val="18"/>
              </w:rPr>
              <w:t xml:space="preserve">1</w:t>
            </w:r>
          </w:p>
        </w:tc>
      </w:tr>
      <w:tr>
        <w:tc>
          <w:tcPr>
            <w:tcW w:type="dxa" w:w="2200"/>
            <w:shd w:fill="F5F6F8" w:val="clear"/>
            <w:tcMar>
              <w:top w:type="dxa" w:w="60"/>
              <w:left w:type="dxa" w:w="110"/>
              <w:bottom w:type="dxa" w:w="60"/>
              <w:right w:type="dxa" w:w="110"/>
            </w:tcMar>
          </w:tcPr>
          <w:p>
            <w:pPr>
              <w:jc w:val="left"/>
            </w:pPr>
            <w:r>
              <w:rPr>
                <w:b w:val="false"/>
                <w:bCs w:val="false"/>
                <w:color w:val="222222"/>
                <w:sz w:val="18"/>
                <w:szCs w:val="18"/>
              </w:rPr>
              <w:t xml:space="preserve">key</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5.213</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3.535</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5</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11</w:t>
            </w:r>
          </w:p>
        </w:tc>
      </w:tr>
      <w:tr>
        <w:tc>
          <w:tcPr>
            <w:tcW w:type="dxa" w:w="2200"/>
            <w:tcMar>
              <w:top w:type="dxa" w:w="60"/>
              <w:left w:type="dxa" w:w="110"/>
              <w:bottom w:type="dxa" w:w="60"/>
              <w:right w:type="dxa" w:w="110"/>
            </w:tcMar>
          </w:tcPr>
          <w:p>
            <w:pPr>
              <w:jc w:val="left"/>
            </w:pPr>
            <w:r>
              <w:rPr>
                <w:b w:val="false"/>
                <w:bCs w:val="false"/>
                <w:color w:val="222222"/>
                <w:sz w:val="18"/>
                <w:szCs w:val="18"/>
              </w:rPr>
              <w:t xml:space="preserve">loudness</w:t>
            </w:r>
          </w:p>
        </w:tc>
        <w:tc>
          <w:tcPr>
            <w:tcW w:type="dxa" w:w="1432"/>
            <w:tcMar>
              <w:top w:type="dxa" w:w="60"/>
              <w:left w:type="dxa" w:w="110"/>
              <w:bottom w:type="dxa" w:w="60"/>
              <w:right w:type="dxa" w:w="110"/>
            </w:tcMar>
          </w:tcPr>
          <w:p>
            <w:pPr>
              <w:jc w:val="center"/>
            </w:pPr>
            <w:r>
              <w:rPr>
                <w:b w:val="false"/>
                <w:bCs w:val="false"/>
                <w:color w:val="222222"/>
                <w:sz w:val="18"/>
                <w:szCs w:val="18"/>
              </w:rPr>
              <w:t xml:space="preserve">-10.221</w:t>
            </w:r>
          </w:p>
        </w:tc>
        <w:tc>
          <w:tcPr>
            <w:tcW w:type="dxa" w:w="1432"/>
            <w:tcMar>
              <w:top w:type="dxa" w:w="60"/>
              <w:left w:type="dxa" w:w="110"/>
              <w:bottom w:type="dxa" w:w="60"/>
              <w:right w:type="dxa" w:w="110"/>
            </w:tcMar>
          </w:tcPr>
          <w:p>
            <w:pPr>
              <w:jc w:val="center"/>
            </w:pPr>
            <w:r>
              <w:rPr>
                <w:b w:val="false"/>
                <w:bCs w:val="false"/>
                <w:color w:val="222222"/>
                <w:sz w:val="18"/>
                <w:szCs w:val="18"/>
              </w:rPr>
              <w:t xml:space="preserve">5.311</w:t>
            </w:r>
          </w:p>
        </w:tc>
        <w:tc>
          <w:tcPr>
            <w:tcW w:type="dxa" w:w="1432"/>
            <w:tcMar>
              <w:top w:type="dxa" w:w="60"/>
              <w:left w:type="dxa" w:w="110"/>
              <w:bottom w:type="dxa" w:w="60"/>
              <w:right w:type="dxa" w:w="110"/>
            </w:tcMar>
          </w:tcPr>
          <w:p>
            <w:pPr>
              <w:jc w:val="center"/>
            </w:pPr>
            <w:r>
              <w:rPr>
                <w:b w:val="false"/>
                <w:bCs w:val="false"/>
                <w:color w:val="222222"/>
                <w:sz w:val="18"/>
                <w:szCs w:val="18"/>
              </w:rPr>
              <w:t xml:space="preserve">-49.253</w:t>
            </w:r>
          </w:p>
        </w:tc>
        <w:tc>
          <w:tcPr>
            <w:tcW w:type="dxa" w:w="1432"/>
            <w:tcMar>
              <w:top w:type="dxa" w:w="60"/>
              <w:left w:type="dxa" w:w="110"/>
              <w:bottom w:type="dxa" w:w="60"/>
              <w:right w:type="dxa" w:w="110"/>
            </w:tcMar>
          </w:tcPr>
          <w:p>
            <w:pPr>
              <w:jc w:val="center"/>
            </w:pPr>
            <w:r>
              <w:rPr>
                <w:b w:val="false"/>
                <w:bCs w:val="false"/>
                <w:color w:val="222222"/>
                <w:sz w:val="18"/>
                <w:szCs w:val="18"/>
              </w:rPr>
              <w:t xml:space="preserve">-9.257</w:t>
            </w:r>
          </w:p>
        </w:tc>
        <w:tc>
          <w:tcPr>
            <w:tcW w:type="dxa" w:w="1432"/>
            <w:tcMar>
              <w:top w:type="dxa" w:w="60"/>
              <w:left w:type="dxa" w:w="110"/>
              <w:bottom w:type="dxa" w:w="60"/>
              <w:right w:type="dxa" w:w="110"/>
            </w:tcMar>
          </w:tcPr>
          <w:p>
            <w:pPr>
              <w:jc w:val="center"/>
            </w:pPr>
            <w:r>
              <w:rPr>
                <w:b w:val="false"/>
                <w:bCs w:val="false"/>
                <w:color w:val="222222"/>
                <w:sz w:val="18"/>
                <w:szCs w:val="18"/>
              </w:rPr>
              <w:t xml:space="preserve">3.744</w:t>
            </w:r>
          </w:p>
        </w:tc>
      </w:tr>
      <w:tr>
        <w:tc>
          <w:tcPr>
            <w:tcW w:type="dxa" w:w="2200"/>
            <w:shd w:fill="F5F6F8" w:val="clear"/>
            <w:tcMar>
              <w:top w:type="dxa" w:w="60"/>
              <w:left w:type="dxa" w:w="110"/>
              <w:bottom w:type="dxa" w:w="60"/>
              <w:right w:type="dxa" w:w="110"/>
            </w:tcMar>
          </w:tcPr>
          <w:p>
            <w:pPr>
              <w:jc w:val="left"/>
            </w:pPr>
            <w:r>
              <w:rPr>
                <w:b w:val="false"/>
                <w:bCs w:val="false"/>
                <w:color w:val="222222"/>
                <w:sz w:val="18"/>
                <w:szCs w:val="18"/>
              </w:rPr>
              <w:t xml:space="preserve">mode</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0.693</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0.461</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1</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1</w:t>
            </w:r>
          </w:p>
        </w:tc>
      </w:tr>
      <w:tr>
        <w:tc>
          <w:tcPr>
            <w:tcW w:type="dxa" w:w="2200"/>
            <w:tcMar>
              <w:top w:type="dxa" w:w="60"/>
              <w:left w:type="dxa" w:w="110"/>
              <w:bottom w:type="dxa" w:w="60"/>
              <w:right w:type="dxa" w:w="110"/>
            </w:tcMar>
          </w:tcPr>
          <w:p>
            <w:pPr>
              <w:jc w:val="left"/>
            </w:pPr>
            <w:r>
              <w:rPr>
                <w:b w:val="false"/>
                <w:bCs w:val="false"/>
                <w:color w:val="222222"/>
                <w:sz w:val="18"/>
                <w:szCs w:val="18"/>
              </w:rPr>
              <w:t xml:space="preserve">speechiness</w:t>
            </w:r>
          </w:p>
        </w:tc>
        <w:tc>
          <w:tcPr>
            <w:tcW w:type="dxa" w:w="1432"/>
            <w:tcMar>
              <w:top w:type="dxa" w:w="60"/>
              <w:left w:type="dxa" w:w="110"/>
              <w:bottom w:type="dxa" w:w="60"/>
              <w:right w:type="dxa" w:w="110"/>
            </w:tcMar>
          </w:tcPr>
          <w:p>
            <w:pPr>
              <w:jc w:val="center"/>
            </w:pPr>
            <w:r>
              <w:rPr>
                <w:b w:val="false"/>
                <w:bCs w:val="false"/>
                <w:color w:val="222222"/>
                <w:sz w:val="18"/>
                <w:szCs w:val="18"/>
              </w:rPr>
              <w:t xml:space="preserve">0.073</w:t>
            </w:r>
          </w:p>
        </w:tc>
        <w:tc>
          <w:tcPr>
            <w:tcW w:type="dxa" w:w="1432"/>
            <w:tcMar>
              <w:top w:type="dxa" w:w="60"/>
              <w:left w:type="dxa" w:w="110"/>
              <w:bottom w:type="dxa" w:w="60"/>
              <w:right w:type="dxa" w:w="110"/>
            </w:tcMar>
          </w:tcPr>
          <w:p>
            <w:pPr>
              <w:jc w:val="center"/>
            </w:pPr>
            <w:r>
              <w:rPr>
                <w:b w:val="false"/>
                <w:bCs w:val="false"/>
                <w:color w:val="222222"/>
                <w:sz w:val="18"/>
                <w:szCs w:val="18"/>
              </w:rPr>
              <w:t xml:space="preserve">0.086</w:t>
            </w:r>
          </w:p>
        </w:tc>
        <w:tc>
          <w:tcPr>
            <w:tcW w:type="dxa" w:w="1432"/>
            <w:tcMar>
              <w:top w:type="dxa" w:w="60"/>
              <w:left w:type="dxa" w:w="110"/>
              <w:bottom w:type="dxa" w:w="60"/>
              <w:right w:type="dxa" w:w="110"/>
            </w:tcMar>
          </w:tcPr>
          <w:p>
            <w:pPr>
              <w:jc w:val="center"/>
            </w:pPr>
            <w:r>
              <w:rPr>
                <w:b w:val="false"/>
                <w:bCs w:val="false"/>
                <w:color w:val="222222"/>
                <w:sz w:val="18"/>
                <w:szCs w:val="18"/>
              </w:rPr>
              <w:t xml:space="preserve">0.022</w:t>
            </w:r>
          </w:p>
        </w:tc>
        <w:tc>
          <w:tcPr>
            <w:tcW w:type="dxa" w:w="1432"/>
            <w:tcMar>
              <w:top w:type="dxa" w:w="60"/>
              <w:left w:type="dxa" w:w="110"/>
              <w:bottom w:type="dxa" w:w="60"/>
              <w:right w:type="dxa" w:w="110"/>
            </w:tcMar>
          </w:tcPr>
          <w:p>
            <w:pPr>
              <w:jc w:val="center"/>
            </w:pPr>
            <w:r>
              <w:rPr>
                <w:b w:val="false"/>
                <w:bCs w:val="false"/>
                <w:color w:val="222222"/>
                <w:sz w:val="18"/>
                <w:szCs w:val="18"/>
              </w:rPr>
              <w:t xml:space="preserve">0.043</w:t>
            </w:r>
          </w:p>
        </w:tc>
        <w:tc>
          <w:tcPr>
            <w:tcW w:type="dxa" w:w="1432"/>
            <w:tcMar>
              <w:top w:type="dxa" w:w="60"/>
              <w:left w:type="dxa" w:w="110"/>
              <w:bottom w:type="dxa" w:w="60"/>
              <w:right w:type="dxa" w:w="110"/>
            </w:tcMar>
          </w:tcPr>
          <w:p>
            <w:pPr>
              <w:jc w:val="center"/>
            </w:pPr>
            <w:r>
              <w:rPr>
                <w:b w:val="false"/>
                <w:bCs w:val="false"/>
                <w:color w:val="222222"/>
                <w:sz w:val="18"/>
                <w:szCs w:val="18"/>
              </w:rPr>
              <w:t xml:space="preserve">0.96</w:t>
            </w:r>
          </w:p>
        </w:tc>
      </w:tr>
      <w:tr>
        <w:tc>
          <w:tcPr>
            <w:tcW w:type="dxa" w:w="2200"/>
            <w:shd w:fill="F5F6F8" w:val="clear"/>
            <w:tcMar>
              <w:top w:type="dxa" w:w="60"/>
              <w:left w:type="dxa" w:w="110"/>
              <w:bottom w:type="dxa" w:w="60"/>
              <w:right w:type="dxa" w:w="110"/>
            </w:tcMar>
          </w:tcPr>
          <w:p>
            <w:pPr>
              <w:jc w:val="left"/>
            </w:pPr>
            <w:r>
              <w:rPr>
                <w:b w:val="false"/>
                <w:bCs w:val="false"/>
                <w:color w:val="222222"/>
                <w:sz w:val="18"/>
                <w:szCs w:val="18"/>
              </w:rPr>
              <w:t xml:space="preserve">acousticness</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0.364</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0.339</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0.258</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0.996</w:t>
            </w:r>
          </w:p>
        </w:tc>
      </w:tr>
      <w:tr>
        <w:tc>
          <w:tcPr>
            <w:tcW w:type="dxa" w:w="2200"/>
            <w:tcMar>
              <w:top w:type="dxa" w:w="60"/>
              <w:left w:type="dxa" w:w="110"/>
              <w:bottom w:type="dxa" w:w="60"/>
              <w:right w:type="dxa" w:w="110"/>
            </w:tcMar>
          </w:tcPr>
          <w:p>
            <w:pPr>
              <w:jc w:val="left"/>
            </w:pPr>
            <w:r>
              <w:rPr>
                <w:b w:val="false"/>
                <w:bCs w:val="false"/>
                <w:color w:val="222222"/>
                <w:sz w:val="18"/>
                <w:szCs w:val="18"/>
              </w:rPr>
              <w:t xml:space="preserve">instrumentalness</w:t>
            </w:r>
          </w:p>
        </w:tc>
        <w:tc>
          <w:tcPr>
            <w:tcW w:type="dxa" w:w="1432"/>
            <w:tcMar>
              <w:top w:type="dxa" w:w="60"/>
              <w:left w:type="dxa" w:w="110"/>
              <w:bottom w:type="dxa" w:w="60"/>
              <w:right w:type="dxa" w:w="110"/>
            </w:tcMar>
          </w:tcPr>
          <w:p>
            <w:pPr>
              <w:jc w:val="center"/>
            </w:pPr>
            <w:r>
              <w:rPr>
                <w:b w:val="false"/>
                <w:bCs w:val="false"/>
                <w:color w:val="222222"/>
                <w:sz w:val="18"/>
                <w:szCs w:val="18"/>
              </w:rPr>
              <w:t xml:space="preserve">0.154</w:t>
            </w:r>
          </w:p>
        </w:tc>
        <w:tc>
          <w:tcPr>
            <w:tcW w:type="dxa" w:w="1432"/>
            <w:tcMar>
              <w:top w:type="dxa" w:w="60"/>
              <w:left w:type="dxa" w:w="110"/>
              <w:bottom w:type="dxa" w:w="60"/>
              <w:right w:type="dxa" w:w="110"/>
            </w:tcMar>
          </w:tcPr>
          <w:p>
            <w:pPr>
              <w:jc w:val="center"/>
            </w:pPr>
            <w:r>
              <w:rPr>
                <w:b w:val="false"/>
                <w:bCs w:val="false"/>
                <w:color w:val="222222"/>
                <w:sz w:val="18"/>
                <w:szCs w:val="18"/>
              </w:rPr>
              <w:t xml:space="preserve">0.304</w:t>
            </w:r>
          </w:p>
        </w:tc>
        <w:tc>
          <w:tcPr>
            <w:tcW w:type="dxa" w:w="1432"/>
            <w:tcMar>
              <w:top w:type="dxa" w:w="60"/>
              <w:left w:type="dxa" w:w="110"/>
              <w:bottom w:type="dxa" w:w="60"/>
              <w:right w:type="dxa" w:w="110"/>
            </w:tcMar>
          </w:tcPr>
          <w:p>
            <w:pPr>
              <w:jc w:val="center"/>
            </w:pPr>
            <w:r>
              <w:rPr>
                <w:b w:val="false"/>
                <w:bCs w:val="false"/>
                <w:color w:val="222222"/>
                <w:sz w:val="18"/>
                <w:szCs w:val="18"/>
              </w:rPr>
              <w:t xml:space="preserve">0</w:t>
            </w:r>
          </w:p>
        </w:tc>
        <w:tc>
          <w:tcPr>
            <w:tcW w:type="dxa" w:w="1432"/>
            <w:tcMar>
              <w:top w:type="dxa" w:w="60"/>
              <w:left w:type="dxa" w:w="110"/>
              <w:bottom w:type="dxa" w:w="60"/>
              <w:right w:type="dxa" w:w="110"/>
            </w:tcMar>
          </w:tcPr>
          <w:p>
            <w:pPr>
              <w:jc w:val="center"/>
            </w:pPr>
            <w:r>
              <w:rPr>
                <w:b w:val="false"/>
                <w:bCs w:val="false"/>
                <w:color w:val="222222"/>
                <w:sz w:val="18"/>
                <w:szCs w:val="18"/>
              </w:rPr>
              <w:t xml:space="preserve">0</w:t>
            </w:r>
          </w:p>
        </w:tc>
        <w:tc>
          <w:tcPr>
            <w:tcW w:type="dxa" w:w="1432"/>
            <w:tcMar>
              <w:top w:type="dxa" w:w="60"/>
              <w:left w:type="dxa" w:w="110"/>
              <w:bottom w:type="dxa" w:w="60"/>
              <w:right w:type="dxa" w:w="110"/>
            </w:tcMar>
          </w:tcPr>
          <w:p>
            <w:pPr>
              <w:jc w:val="center"/>
            </w:pPr>
            <w:r>
              <w:rPr>
                <w:b w:val="false"/>
                <w:bCs w:val="false"/>
                <w:color w:val="222222"/>
                <w:sz w:val="18"/>
                <w:szCs w:val="18"/>
              </w:rPr>
              <w:t xml:space="preserve">1</w:t>
            </w:r>
          </w:p>
        </w:tc>
      </w:tr>
      <w:tr>
        <w:tc>
          <w:tcPr>
            <w:tcW w:type="dxa" w:w="2200"/>
            <w:shd w:fill="F5F6F8" w:val="clear"/>
            <w:tcMar>
              <w:top w:type="dxa" w:w="60"/>
              <w:left w:type="dxa" w:w="110"/>
              <w:bottom w:type="dxa" w:w="60"/>
              <w:right w:type="dxa" w:w="110"/>
            </w:tcMar>
          </w:tcPr>
          <w:p>
            <w:pPr>
              <w:jc w:val="left"/>
            </w:pPr>
            <w:r>
              <w:rPr>
                <w:b w:val="false"/>
                <w:bCs w:val="false"/>
                <w:color w:val="222222"/>
                <w:sz w:val="18"/>
                <w:szCs w:val="18"/>
              </w:rPr>
              <w:t xml:space="preserve">liveness</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0.202</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0.173</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0.013</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0.132</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0.999</w:t>
            </w:r>
          </w:p>
        </w:tc>
      </w:tr>
      <w:tr>
        <w:tc>
          <w:tcPr>
            <w:tcW w:type="dxa" w:w="2200"/>
            <w:tcMar>
              <w:top w:type="dxa" w:w="60"/>
              <w:left w:type="dxa" w:w="110"/>
              <w:bottom w:type="dxa" w:w="60"/>
              <w:right w:type="dxa" w:w="110"/>
            </w:tcMar>
          </w:tcPr>
          <w:p>
            <w:pPr>
              <w:jc w:val="left"/>
            </w:pPr>
            <w:r>
              <w:rPr>
                <w:b w:val="false"/>
                <w:bCs w:val="false"/>
                <w:color w:val="222222"/>
                <w:sz w:val="18"/>
                <w:szCs w:val="18"/>
              </w:rPr>
              <w:t xml:space="preserve">valence</w:t>
            </w:r>
          </w:p>
        </w:tc>
        <w:tc>
          <w:tcPr>
            <w:tcW w:type="dxa" w:w="1432"/>
            <w:tcMar>
              <w:top w:type="dxa" w:w="60"/>
              <w:left w:type="dxa" w:w="110"/>
              <w:bottom w:type="dxa" w:w="60"/>
              <w:right w:type="dxa" w:w="110"/>
            </w:tcMar>
          </w:tcPr>
          <w:p>
            <w:pPr>
              <w:jc w:val="center"/>
            </w:pPr>
            <w:r>
              <w:rPr>
                <w:b w:val="false"/>
                <w:bCs w:val="false"/>
                <w:color w:val="222222"/>
                <w:sz w:val="18"/>
                <w:szCs w:val="18"/>
              </w:rPr>
              <w:t xml:space="preserve">0.542</w:t>
            </w:r>
          </w:p>
        </w:tc>
        <w:tc>
          <w:tcPr>
            <w:tcW w:type="dxa" w:w="1432"/>
            <w:tcMar>
              <w:top w:type="dxa" w:w="60"/>
              <w:left w:type="dxa" w:w="110"/>
              <w:bottom w:type="dxa" w:w="60"/>
              <w:right w:type="dxa" w:w="110"/>
            </w:tcMar>
          </w:tcPr>
          <w:p>
            <w:pPr>
              <w:jc w:val="center"/>
            </w:pPr>
            <w:r>
              <w:rPr>
                <w:b w:val="false"/>
                <w:bCs w:val="false"/>
                <w:color w:val="222222"/>
                <w:sz w:val="18"/>
                <w:szCs w:val="18"/>
              </w:rPr>
              <w:t xml:space="preserve">0.267</w:t>
            </w:r>
          </w:p>
        </w:tc>
        <w:tc>
          <w:tcPr>
            <w:tcW w:type="dxa" w:w="1432"/>
            <w:tcMar>
              <w:top w:type="dxa" w:w="60"/>
              <w:left w:type="dxa" w:w="110"/>
              <w:bottom w:type="dxa" w:w="60"/>
              <w:right w:type="dxa" w:w="110"/>
            </w:tcMar>
          </w:tcPr>
          <w:p>
            <w:pPr>
              <w:jc w:val="center"/>
            </w:pPr>
            <w:r>
              <w:rPr>
                <w:b w:val="false"/>
                <w:bCs w:val="false"/>
                <w:color w:val="222222"/>
                <w:sz w:val="18"/>
                <w:szCs w:val="18"/>
              </w:rPr>
              <w:t xml:space="preserve">0</w:t>
            </w:r>
          </w:p>
        </w:tc>
        <w:tc>
          <w:tcPr>
            <w:tcW w:type="dxa" w:w="1432"/>
            <w:tcMar>
              <w:top w:type="dxa" w:w="60"/>
              <w:left w:type="dxa" w:w="110"/>
              <w:bottom w:type="dxa" w:w="60"/>
              <w:right w:type="dxa" w:w="110"/>
            </w:tcMar>
          </w:tcPr>
          <w:p>
            <w:pPr>
              <w:jc w:val="center"/>
            </w:pPr>
            <w:r>
              <w:rPr>
                <w:b w:val="false"/>
                <w:bCs w:val="false"/>
                <w:color w:val="222222"/>
                <w:sz w:val="18"/>
                <w:szCs w:val="18"/>
              </w:rPr>
              <w:t xml:space="preserve">0.559</w:t>
            </w:r>
          </w:p>
        </w:tc>
        <w:tc>
          <w:tcPr>
            <w:tcW w:type="dxa" w:w="1432"/>
            <w:tcMar>
              <w:top w:type="dxa" w:w="60"/>
              <w:left w:type="dxa" w:w="110"/>
              <w:bottom w:type="dxa" w:w="60"/>
              <w:right w:type="dxa" w:w="110"/>
            </w:tcMar>
          </w:tcPr>
          <w:p>
            <w:pPr>
              <w:jc w:val="center"/>
            </w:pPr>
            <w:r>
              <w:rPr>
                <w:b w:val="false"/>
                <w:bCs w:val="false"/>
                <w:color w:val="222222"/>
                <w:sz w:val="18"/>
                <w:szCs w:val="18"/>
              </w:rPr>
              <w:t xml:space="preserve">0.996</w:t>
            </w:r>
          </w:p>
        </w:tc>
      </w:tr>
      <w:tr>
        <w:tc>
          <w:tcPr>
            <w:tcW w:type="dxa" w:w="2200"/>
            <w:shd w:fill="F5F6F8" w:val="clear"/>
            <w:tcMar>
              <w:top w:type="dxa" w:w="60"/>
              <w:left w:type="dxa" w:w="110"/>
              <w:bottom w:type="dxa" w:w="60"/>
              <w:right w:type="dxa" w:w="110"/>
            </w:tcMar>
          </w:tcPr>
          <w:p>
            <w:pPr>
              <w:jc w:val="left"/>
            </w:pPr>
            <w:r>
              <w:rPr>
                <w:b w:val="false"/>
                <w:bCs w:val="false"/>
                <w:color w:val="222222"/>
                <w:sz w:val="18"/>
                <w:szCs w:val="18"/>
              </w:rPr>
              <w:t xml:space="preserve">tempo</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119.343</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29.093</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31.988</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117.567</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241.423</w:t>
            </w:r>
          </w:p>
        </w:tc>
      </w:tr>
      <w:tr>
        <w:tc>
          <w:tcPr>
            <w:tcW w:type="dxa" w:w="2200"/>
            <w:tcMar>
              <w:top w:type="dxa" w:w="60"/>
              <w:left w:type="dxa" w:w="110"/>
              <w:bottom w:type="dxa" w:w="60"/>
              <w:right w:type="dxa" w:w="110"/>
            </w:tcMar>
          </w:tcPr>
          <w:p>
            <w:pPr>
              <w:jc w:val="left"/>
            </w:pPr>
            <w:r>
              <w:rPr>
                <w:b w:val="false"/>
                <w:bCs w:val="false"/>
                <w:color w:val="222222"/>
                <w:sz w:val="18"/>
                <w:szCs w:val="18"/>
              </w:rPr>
              <w:t xml:space="preserve">duration_ms</w:t>
            </w:r>
          </w:p>
        </w:tc>
        <w:tc>
          <w:tcPr>
            <w:tcW w:type="dxa" w:w="1432"/>
            <w:tcMar>
              <w:top w:type="dxa" w:w="60"/>
              <w:left w:type="dxa" w:w="110"/>
              <w:bottom w:type="dxa" w:w="60"/>
              <w:right w:type="dxa" w:w="110"/>
            </w:tcMar>
          </w:tcPr>
          <w:p>
            <w:pPr>
              <w:jc w:val="center"/>
            </w:pPr>
            <w:r>
              <w:rPr>
                <w:b w:val="false"/>
                <w:bCs w:val="false"/>
                <w:color w:val="222222"/>
                <w:sz w:val="18"/>
                <w:szCs w:val="18"/>
              </w:rPr>
              <w:t xml:space="preserve">234880.263</w:t>
            </w:r>
          </w:p>
        </w:tc>
        <w:tc>
          <w:tcPr>
            <w:tcW w:type="dxa" w:w="1432"/>
            <w:tcMar>
              <w:top w:type="dxa" w:w="60"/>
              <w:left w:type="dxa" w:w="110"/>
              <w:bottom w:type="dxa" w:w="60"/>
              <w:right w:type="dxa" w:w="110"/>
            </w:tcMar>
          </w:tcPr>
          <w:p>
            <w:pPr>
              <w:jc w:val="center"/>
            </w:pPr>
            <w:r>
              <w:rPr>
                <w:b w:val="false"/>
                <w:bCs w:val="false"/>
                <w:color w:val="222222"/>
                <w:sz w:val="18"/>
                <w:szCs w:val="18"/>
              </w:rPr>
              <w:t xml:space="preserve">118971.258</w:t>
            </w:r>
          </w:p>
        </w:tc>
        <w:tc>
          <w:tcPr>
            <w:tcW w:type="dxa" w:w="1432"/>
            <w:tcMar>
              <w:top w:type="dxa" w:w="60"/>
              <w:left w:type="dxa" w:w="110"/>
              <w:bottom w:type="dxa" w:w="60"/>
              <w:right w:type="dxa" w:w="110"/>
            </w:tcMar>
          </w:tcPr>
          <w:p>
            <w:pPr>
              <w:jc w:val="center"/>
            </w:pPr>
            <w:r>
              <w:rPr>
                <w:b w:val="false"/>
                <w:bCs w:val="false"/>
                <w:color w:val="222222"/>
                <w:sz w:val="18"/>
                <w:szCs w:val="18"/>
              </w:rPr>
              <w:t xml:space="preserve">15168</w:t>
            </w:r>
          </w:p>
        </w:tc>
        <w:tc>
          <w:tcPr>
            <w:tcW w:type="dxa" w:w="1432"/>
            <w:tcMar>
              <w:top w:type="dxa" w:w="60"/>
              <w:left w:type="dxa" w:w="110"/>
              <w:bottom w:type="dxa" w:w="60"/>
              <w:right w:type="dxa" w:w="110"/>
            </w:tcMar>
          </w:tcPr>
          <w:p>
            <w:pPr>
              <w:jc w:val="center"/>
            </w:pPr>
            <w:r>
              <w:rPr>
                <w:b w:val="false"/>
                <w:bCs w:val="false"/>
                <w:color w:val="222222"/>
                <w:sz w:val="18"/>
                <w:szCs w:val="18"/>
              </w:rPr>
              <w:t xml:space="preserve">217907</w:t>
            </w:r>
          </w:p>
        </w:tc>
        <w:tc>
          <w:tcPr>
            <w:tcW w:type="dxa" w:w="1432"/>
            <w:tcMar>
              <w:top w:type="dxa" w:w="60"/>
              <w:left w:type="dxa" w:w="110"/>
              <w:bottom w:type="dxa" w:w="60"/>
              <w:right w:type="dxa" w:w="110"/>
            </w:tcMar>
          </w:tcPr>
          <w:p>
            <w:pPr>
              <w:jc w:val="center"/>
            </w:pPr>
            <w:r>
              <w:rPr>
                <w:b w:val="false"/>
                <w:bCs w:val="false"/>
                <w:color w:val="222222"/>
                <w:sz w:val="18"/>
                <w:szCs w:val="18"/>
              </w:rPr>
              <w:t xml:space="preserve">4170227</w:t>
            </w:r>
          </w:p>
        </w:tc>
      </w:tr>
      <w:tr>
        <w:tc>
          <w:tcPr>
            <w:tcW w:type="dxa" w:w="2200"/>
            <w:shd w:fill="F5F6F8" w:val="clear"/>
            <w:tcMar>
              <w:top w:type="dxa" w:w="60"/>
              <w:left w:type="dxa" w:w="110"/>
              <w:bottom w:type="dxa" w:w="60"/>
              <w:right w:type="dxa" w:w="110"/>
            </w:tcMar>
          </w:tcPr>
          <w:p>
            <w:pPr>
              <w:jc w:val="left"/>
            </w:pPr>
            <w:r>
              <w:rPr>
                <w:b w:val="false"/>
                <w:bCs w:val="false"/>
                <w:color w:val="222222"/>
                <w:sz w:val="18"/>
                <w:szCs w:val="18"/>
              </w:rPr>
              <w:t xml:space="preserve">time_signature</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3.894</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0.422</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1</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4</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5</w:t>
            </w:r>
          </w:p>
        </w:tc>
      </w:tr>
      <w:tr>
        <w:tc>
          <w:tcPr>
            <w:tcW w:type="dxa" w:w="2200"/>
            <w:tcMar>
              <w:top w:type="dxa" w:w="60"/>
              <w:left w:type="dxa" w:w="110"/>
              <w:bottom w:type="dxa" w:w="60"/>
              <w:right w:type="dxa" w:w="110"/>
            </w:tcMar>
          </w:tcPr>
          <w:p>
            <w:pPr>
              <w:jc w:val="left"/>
            </w:pPr>
            <w:r>
              <w:rPr>
                <w:b w:val="false"/>
                <w:bCs w:val="false"/>
                <w:color w:val="222222"/>
                <w:sz w:val="18"/>
                <w:szCs w:val="18"/>
              </w:rPr>
              <w:t xml:space="preserve">chorus_hit</w:t>
            </w:r>
          </w:p>
        </w:tc>
        <w:tc>
          <w:tcPr>
            <w:tcW w:type="dxa" w:w="1432"/>
            <w:tcMar>
              <w:top w:type="dxa" w:w="60"/>
              <w:left w:type="dxa" w:w="110"/>
              <w:bottom w:type="dxa" w:w="60"/>
              <w:right w:type="dxa" w:w="110"/>
            </w:tcMar>
          </w:tcPr>
          <w:p>
            <w:pPr>
              <w:jc w:val="center"/>
            </w:pPr>
            <w:r>
              <w:rPr>
                <w:b w:val="false"/>
                <w:bCs w:val="false"/>
                <w:color w:val="222222"/>
                <w:sz w:val="18"/>
                <w:szCs w:val="18"/>
              </w:rPr>
              <w:t xml:space="preserve">40.104</w:t>
            </w:r>
          </w:p>
        </w:tc>
        <w:tc>
          <w:tcPr>
            <w:tcW w:type="dxa" w:w="1432"/>
            <w:tcMar>
              <w:top w:type="dxa" w:w="60"/>
              <w:left w:type="dxa" w:w="110"/>
              <w:bottom w:type="dxa" w:w="60"/>
              <w:right w:type="dxa" w:w="110"/>
            </w:tcMar>
          </w:tcPr>
          <w:p>
            <w:pPr>
              <w:jc w:val="center"/>
            </w:pPr>
            <w:r>
              <w:rPr>
                <w:b w:val="false"/>
                <w:bCs w:val="false"/>
                <w:color w:val="222222"/>
                <w:sz w:val="18"/>
                <w:szCs w:val="18"/>
              </w:rPr>
              <w:t xml:space="preserve">18.999</w:t>
            </w:r>
          </w:p>
        </w:tc>
        <w:tc>
          <w:tcPr>
            <w:tcW w:type="dxa" w:w="1432"/>
            <w:tcMar>
              <w:top w:type="dxa" w:w="60"/>
              <w:left w:type="dxa" w:w="110"/>
              <w:bottom w:type="dxa" w:w="60"/>
              <w:right w:type="dxa" w:w="110"/>
            </w:tcMar>
          </w:tcPr>
          <w:p>
            <w:pPr>
              <w:jc w:val="center"/>
            </w:pPr>
            <w:r>
              <w:rPr>
                <w:b w:val="false"/>
                <w:bCs w:val="false"/>
                <w:color w:val="222222"/>
                <w:sz w:val="18"/>
                <w:szCs w:val="18"/>
              </w:rPr>
              <w:t xml:space="preserve">0</w:t>
            </w:r>
          </w:p>
        </w:tc>
        <w:tc>
          <w:tcPr>
            <w:tcW w:type="dxa" w:w="1432"/>
            <w:tcMar>
              <w:top w:type="dxa" w:w="60"/>
              <w:left w:type="dxa" w:w="110"/>
              <w:bottom w:type="dxa" w:w="60"/>
              <w:right w:type="dxa" w:w="110"/>
            </w:tcMar>
          </w:tcPr>
          <w:p>
            <w:pPr>
              <w:jc w:val="center"/>
            </w:pPr>
            <w:r>
              <w:rPr>
                <w:b w:val="false"/>
                <w:bCs w:val="false"/>
                <w:color w:val="222222"/>
                <w:sz w:val="18"/>
                <w:szCs w:val="18"/>
              </w:rPr>
              <w:t xml:space="preserve">35.85</w:t>
            </w:r>
          </w:p>
        </w:tc>
        <w:tc>
          <w:tcPr>
            <w:tcW w:type="dxa" w:w="1432"/>
            <w:tcMar>
              <w:top w:type="dxa" w:w="60"/>
              <w:left w:type="dxa" w:w="110"/>
              <w:bottom w:type="dxa" w:w="60"/>
              <w:right w:type="dxa" w:w="110"/>
            </w:tcMar>
          </w:tcPr>
          <w:p>
            <w:pPr>
              <w:jc w:val="center"/>
            </w:pPr>
            <w:r>
              <w:rPr>
                <w:b w:val="false"/>
                <w:bCs w:val="false"/>
                <w:color w:val="222222"/>
                <w:sz w:val="18"/>
                <w:szCs w:val="18"/>
              </w:rPr>
              <w:t xml:space="preserve">433.182</w:t>
            </w:r>
          </w:p>
        </w:tc>
      </w:tr>
      <w:tr>
        <w:tc>
          <w:tcPr>
            <w:tcW w:type="dxa" w:w="2200"/>
            <w:shd w:fill="F5F6F8" w:val="clear"/>
            <w:tcMar>
              <w:top w:type="dxa" w:w="60"/>
              <w:left w:type="dxa" w:w="110"/>
              <w:bottom w:type="dxa" w:w="60"/>
              <w:right w:type="dxa" w:w="110"/>
            </w:tcMar>
          </w:tcPr>
          <w:p>
            <w:pPr>
              <w:jc w:val="left"/>
            </w:pPr>
            <w:r>
              <w:rPr>
                <w:b w:val="false"/>
                <w:bCs w:val="false"/>
                <w:color w:val="222222"/>
                <w:sz w:val="18"/>
                <w:szCs w:val="18"/>
              </w:rPr>
              <w:t xml:space="preserve">sections</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10.476</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4.872</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0</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10</w:t>
            </w:r>
          </w:p>
        </w:tc>
        <w:tc>
          <w:tcPr>
            <w:tcW w:type="dxa" w:w="1432"/>
            <w:shd w:fill="F5F6F8" w:val="clear"/>
            <w:tcMar>
              <w:top w:type="dxa" w:w="60"/>
              <w:left w:type="dxa" w:w="110"/>
              <w:bottom w:type="dxa" w:w="60"/>
              <w:right w:type="dxa" w:w="110"/>
            </w:tcMar>
          </w:tcPr>
          <w:p>
            <w:pPr>
              <w:jc w:val="center"/>
            </w:pPr>
            <w:r>
              <w:rPr>
                <w:b w:val="false"/>
                <w:bCs w:val="false"/>
                <w:color w:val="222222"/>
                <w:sz w:val="18"/>
                <w:szCs w:val="18"/>
              </w:rPr>
              <w:t xml:space="preserve">169</w:t>
            </w:r>
          </w:p>
        </w:tc>
      </w:tr>
    </w:tbl>
    <w:p>
      <w:pPr>
        <w:spacing w:after="60" w:before="160"/>
        <w:jc w:val="center"/>
      </w:pPr>
      <w:r>
        <w:drawing>
          <wp:inline distT="0" distB="0" distL="0" distR="0">
            <wp:extent cx="5334000" cy="3086100"/>
            <wp:effectExtent t="0" r="0" b="0" l="0"/>
            <wp:docPr id="1" name="Figure 1" descr="Class balance by decade. Each decade is sampled to an even hit/flop split, so accuracy is interpreted against a 50% baselin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86100"/>
                    </a:xfrm>
                    <a:prstGeom prst="rect">
                      <a:avLst/>
                    </a:prstGeom>
                  </pic:spPr>
                </pic:pic>
              </a:graphicData>
            </a:graphic>
          </wp:inline>
        </w:drawing>
      </w:r>
    </w:p>
    <w:p>
      <w:pPr>
        <w:spacing w:after="200"/>
        <w:jc w:val="center"/>
      </w:pPr>
      <w:r>
        <w:rPr>
          <w:b/>
          <w:bCs/>
          <w:sz w:val="19"/>
          <w:szCs w:val="19"/>
        </w:rPr>
        <w:t xml:space="preserve">Figure 1. </w:t>
      </w:r>
      <w:r>
        <w:rPr>
          <w:i/>
          <w:iCs/>
          <w:color w:val="555555"/>
          <w:sz w:val="19"/>
          <w:szCs w:val="19"/>
        </w:rPr>
        <w:t xml:space="preserve">Class balance by decade. Each decade is sampled to an even hit/flop split, so accuracy is interpreted against a 50% baseline.</w:t>
      </w:r>
    </w:p>
    <w:p>
      <w:pPr>
        <w:spacing w:after="140"/>
      </w:pPr>
      <w:r>
        <w:t xml:space="preserve">Several features already separate the two classes before any modelling (Figure 2). Hits tend to be louder (mean loudness −8.7 dB vs −11.7 dB for flops), far less instrumental (0.03 vs 0.28) and less acoustic (0.28 vs 0.45), more positive in valence (0.61 vs 0.48), and slightly shorter. These raw differences foreshadow the model-based importances reported later.</w:t>
      </w:r>
    </w:p>
    <w:p>
      <w:pPr>
        <w:spacing w:after="60" w:before="160"/>
        <w:jc w:val="center"/>
      </w:pPr>
      <w:r>
        <w:drawing>
          <wp:inline distT="0" distB="0" distL="0" distR="0">
            <wp:extent cx="5715000" cy="2752725"/>
            <wp:effectExtent t="0" r="0" b="0" l="0"/>
            <wp:docPr id="1" name="Figure 2" descr="Distributions of eight key features for hits vs flops. Instrumentalness, loudness, and acousticness show the clearest separa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200"/>
        <w:jc w:val="center"/>
      </w:pPr>
      <w:r>
        <w:rPr>
          <w:b/>
          <w:bCs/>
          <w:sz w:val="19"/>
          <w:szCs w:val="19"/>
        </w:rPr>
        <w:t xml:space="preserve">Figure 2. </w:t>
      </w:r>
      <w:r>
        <w:rPr>
          <w:i/>
          <w:iCs/>
          <w:color w:val="555555"/>
          <w:sz w:val="19"/>
          <w:szCs w:val="19"/>
        </w:rPr>
        <w:t xml:space="preserve">Distributions of eight key features for hits vs flops. Instrumentalness, loudness, and acousticness show the clearest separation.</w:t>
      </w:r>
    </w:p>
    <w:p>
      <w:pPr>
        <w:spacing w:after="60" w:before="160"/>
        <w:jc w:val="center"/>
      </w:pPr>
      <w:r>
        <w:drawing>
          <wp:inline distT="0" distB="0" distL="0" distR="0">
            <wp:extent cx="4476750" cy="3952875"/>
            <wp:effectExtent t="0" r="0" b="0" l="0"/>
            <wp:docPr id="1" name="Figure 3" descr="Pearson correlation among the fifteen features. Energy, loudness, and acousticness are the most strongly inter-correlated, which is relevant when interpreting individual coefficien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952875"/>
                    </a:xfrm>
                    <a:prstGeom prst="rect">
                      <a:avLst/>
                    </a:prstGeom>
                  </pic:spPr>
                </pic:pic>
              </a:graphicData>
            </a:graphic>
          </wp:inline>
        </w:drawing>
      </w:r>
    </w:p>
    <w:p>
      <w:pPr>
        <w:spacing w:after="200"/>
        <w:jc w:val="center"/>
      </w:pPr>
      <w:r>
        <w:rPr>
          <w:b/>
          <w:bCs/>
          <w:sz w:val="19"/>
          <w:szCs w:val="19"/>
        </w:rPr>
        <w:t xml:space="preserve">Figure 3. </w:t>
      </w:r>
      <w:r>
        <w:rPr>
          <w:i/>
          <w:iCs/>
          <w:color w:val="555555"/>
          <w:sz w:val="19"/>
          <w:szCs w:val="19"/>
        </w:rPr>
        <w:t xml:space="preserve">Pearson correlation among the fifteen features. Energy, loudness, and acousticness are the most strongly inter-correlated, which is relevant when interpreting individual coefficients.</w:t>
      </w:r>
    </w:p>
    <w:p>
      <w:pPr>
        <w:spacing w:after="60" w:before="160"/>
        <w:jc w:val="center"/>
      </w:pPr>
      <w:r>
        <w:drawing>
          <wp:inline distT="0" distB="0" distL="0" distR="0">
            <wp:extent cx="4095750" cy="3971925"/>
            <wp:effectExtent t="0" r="0" b="0" l="0"/>
            <wp:docPr id="1" name="Figure 4" descr="Standardized feature means by era. Loudness and energy rise while acousticness and instrumentalness fall over time — motivating a per-era analysi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971925"/>
                    </a:xfrm>
                    <a:prstGeom prst="rect">
                      <a:avLst/>
                    </a:prstGeom>
                  </pic:spPr>
                </pic:pic>
              </a:graphicData>
            </a:graphic>
          </wp:inline>
        </w:drawing>
      </w:r>
    </w:p>
    <w:p>
      <w:pPr>
        <w:spacing w:after="200"/>
        <w:jc w:val="center"/>
      </w:pPr>
      <w:r>
        <w:rPr>
          <w:b/>
          <w:bCs/>
          <w:sz w:val="19"/>
          <w:szCs w:val="19"/>
        </w:rPr>
        <w:t xml:space="preserve">Figure 4. </w:t>
      </w:r>
      <w:r>
        <w:rPr>
          <w:i/>
          <w:iCs/>
          <w:color w:val="555555"/>
          <w:sz w:val="19"/>
          <w:szCs w:val="19"/>
        </w:rPr>
        <w:t xml:space="preserve">Standardized feature means by era. Loudness and energy rise while acousticness and instrumentalness fall over time — motivating a per-era analysis.</w:t>
      </w:r>
    </w:p>
    <w:p>
      <w:pPr>
        <w:pStyle w:val="Heading1"/>
      </w:pPr>
      <w:r>
        <w:t xml:space="preserve">4. Methods</w:t>
      </w:r>
    </w:p>
    <w:p>
      <w:pPr>
        <w:pStyle w:val="Heading2"/>
      </w:pPr>
      <w:r>
        <w:t xml:space="preserve">4.1 Choice of classifiers</w:t>
      </w:r>
    </w:p>
    <w:p>
      <w:pPr>
        <w:spacing w:after="140"/>
      </w:pPr>
      <w:r>
        <w:t xml:space="preserve">We compare three classifiers that span distinct model families: a linear model (Logistic Regression), a tree ensemble (Random Forest), and a distance-based learner (K-Nearest Neighbours). This selection follows established practice in the hit-song-prediction literature, where these algorithms are repeatedly used and benchmarked; comparative studies consistently find tree-ensemble and logistic models the strongest performers, while KNN serves as a standard non-parametric baseline (Georgieva et al., 2018; SpotHitPy, 2023; Yang et al., 2023; Putra &amp; Rahayu, 2023). Using all three provides an interpretable, well-grounded baseline rather than an arbitrary single model.</w:t>
      </w:r>
    </w:p>
    <w:p>
      <w:pPr>
        <w:pStyle w:val="Heading2"/>
      </w:pPr>
      <w:r>
        <w:t xml:space="preserve">4.2 Preprocessing and hyperparameter tuning</w:t>
      </w:r>
    </w:p>
    <w:p>
      <w:pPr>
        <w:spacing w:after="140"/>
      </w:pPr>
      <w:r>
        <w:t xml:space="preserve">All features were standardised (z-score) before fitting the distance- and coefficient-based models (Logistic Regression and KNN); the Random Forest used the raw feature scale. Rather than fixing hyperparameters by hand, each model's settings were selected by grid search with 3-fold cross-validation (optimising ROC-AUC), independently within each era. The search spaces were: Logistic Regression — regularisation strength C ∈ {0.01, 0.1, 1, 10, 100} and penalty ∈ {L1, L2}; Random Forest — n_estimators ∈ {150, 300} and max_depth ∈ {12, 20}; KNN — n_neighbours ∈ {15, 45, 75} and weighting ∈ {uniform, distance}. The selected configurations are reported in Table 2.</w:t>
      </w:r>
    </w:p>
    <w:p>
      <w:pPr>
        <w:pStyle w:val="Heading2"/>
      </w:pPr>
      <w:r>
        <w:t xml:space="preserve">4.3 Evaluation and interpretation</w:t>
      </w:r>
    </w:p>
    <w:p>
      <w:pPr>
        <w:spacing w:after="140"/>
      </w:pPr>
      <w:r>
        <w:t xml:space="preserve">Each tuned model was evaluated with stratified cross-validation, reporting accuracy, F1, and ROC-AUC. Feature importance was assessed with the best-performing model (Random Forest) using SHAP (TreeExplainer), reported as the mean absolute SHAP value per feature within each era and decade. To keep exact TreeSHAP tractable on the larger subsets, the forest used for interpretation was depth-limited (max_depth = 12); feature-importance rankings are stable across depths. The direction of each feature's effect was summarised with standardised Logistic-Regression coefficients, where a positive coefficient pushes a track toward hit.</w:t>
      </w:r>
    </w:p>
    <w:p>
      <w:pPr>
        <w:pStyle w:val="Heading1"/>
      </w:pPr>
      <w:r>
        <w:t xml:space="preserve">5. Results</w:t>
      </w:r>
    </w:p>
    <w:p>
      <w:pPr>
        <w:pStyle w:val="Heading2"/>
      </w:pPr>
      <w:r>
        <w:t xml:space="preserve">5.1 Hyperparameter tuning</w:t>
      </w:r>
    </w:p>
    <w:p>
      <w:pPr>
        <w:spacing w:after="140"/>
      </w:pPr>
      <w:r>
        <w:t xml:space="preserve">Grid search produced stable, interpretable settings (Table 2). The Random Forest preferred its larger, deeper configuration in every era (300 trees, max_depth 20); KNN consistently favoured distance weighting with a large neighbourhood (k = 45–75); and Logistic Regression chose stronger regularisation in the Analog era than later. Importantly, tuning did not change the ranking of models — it removes the “why these settings?” objection without altering the conclusions.</w:t>
      </w:r>
    </w:p>
    <w:p>
      <w:pPr>
        <w:spacing w:after="120"/>
      </w:pPr>
      <w:r>
        <w:rPr>
          <w:b/>
          <w:bCs/>
          <w:sz w:val="19"/>
          <w:szCs w:val="19"/>
        </w:rPr>
        <w:t xml:space="preserve">Table 2. </w:t>
      </w:r>
      <w:r>
        <w:rPr>
          <w:i/>
          <w:iCs/>
          <w:color w:val="555555"/>
          <w:sz w:val="19"/>
          <w:szCs w:val="19"/>
        </w:rPr>
        <w:t xml:space="preserve">Hyperparameters selected by grid search (3-fold CV) for each model and era; Random Forest, the best model per era, is shaded.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360"/>
        <w:gridCol w:w="1700"/>
      </w:tblGrid>
      <w:tr>
        <w:trPr>
          <w:tblHeader/>
        </w:trPr>
        <w:tc>
          <w:tcPr>
            <w:tcW w:type="dxa" w:w="2400"/>
            <w:shd w:fill="15212B" w:val="clear"/>
            <w:tcMar>
              <w:top w:type="dxa" w:w="70"/>
              <w:left w:type="dxa" w:w="110"/>
              <w:bottom w:type="dxa" w:w="70"/>
              <w:right w:type="dxa" w:w="110"/>
            </w:tcMar>
          </w:tcPr>
          <w:p>
            <w:r>
              <w:rPr>
                <w:b/>
                <w:bCs/>
                <w:color w:val="FFFFFF"/>
                <w:sz w:val="18"/>
                <w:szCs w:val="18"/>
              </w:rPr>
              <w:t xml:space="preserve">Era</w:t>
            </w:r>
          </w:p>
        </w:tc>
        <w:tc>
          <w:tcPr>
            <w:tcW w:type="dxa" w:w="1900"/>
            <w:shd w:fill="15212B" w:val="clear"/>
            <w:tcMar>
              <w:top w:type="dxa" w:w="70"/>
              <w:left w:type="dxa" w:w="110"/>
              <w:bottom w:type="dxa" w:w="70"/>
              <w:right w:type="dxa" w:w="110"/>
            </w:tcMar>
          </w:tcPr>
          <w:p>
            <w:r>
              <w:rPr>
                <w:b/>
                <w:bCs/>
                <w:color w:val="FFFFFF"/>
                <w:sz w:val="18"/>
                <w:szCs w:val="18"/>
              </w:rPr>
              <w:t xml:space="preserve">Classifier</w:t>
            </w:r>
          </w:p>
        </w:tc>
        <w:tc>
          <w:tcPr>
            <w:tcW w:type="dxa" w:w="3360"/>
            <w:shd w:fill="15212B" w:val="clear"/>
            <w:tcMar>
              <w:top w:type="dxa" w:w="70"/>
              <w:left w:type="dxa" w:w="110"/>
              <w:bottom w:type="dxa" w:w="70"/>
              <w:right w:type="dxa" w:w="110"/>
            </w:tcMar>
          </w:tcPr>
          <w:p>
            <w:r>
              <w:rPr>
                <w:b/>
                <w:bCs/>
                <w:color w:val="FFFFFF"/>
                <w:sz w:val="18"/>
                <w:szCs w:val="18"/>
              </w:rPr>
              <w:t xml:space="preserve">Best hyperparameters (grid search)</w:t>
            </w:r>
          </w:p>
        </w:tc>
        <w:tc>
          <w:tcPr>
            <w:tcW w:type="dxa" w:w="1700"/>
            <w:shd w:fill="15212B" w:val="clear"/>
            <w:tcMar>
              <w:top w:type="dxa" w:w="70"/>
              <w:left w:type="dxa" w:w="110"/>
              <w:bottom w:type="dxa" w:w="70"/>
              <w:right w:type="dxa" w:w="110"/>
            </w:tcMar>
          </w:tcPr>
          <w:p>
            <w:r>
              <w:rPr>
                <w:b/>
                <w:bCs/>
                <w:color w:val="FFFFFF"/>
                <w:sz w:val="18"/>
                <w:szCs w:val="18"/>
              </w:rPr>
              <w:t xml:space="preserve">Tuned ROC-AUC</w:t>
            </w:r>
          </w:p>
        </w:tc>
      </w:tr>
      <w:tr>
        <w:tc>
          <w:tcPr>
            <w:tcW w:type="dxa" w:w="2400"/>
            <w:shd w:fill="F5F6F8" w:val="clear"/>
            <w:tcMar>
              <w:top w:type="dxa" w:w="60"/>
              <w:left w:type="dxa" w:w="110"/>
              <w:bottom w:type="dxa" w:w="60"/>
              <w:right w:type="dxa" w:w="110"/>
            </w:tcMar>
          </w:tcPr>
          <w:p>
            <w:pPr>
              <w:jc w:val="left"/>
            </w:pPr>
            <w:r>
              <w:rPr>
                <w:b/>
                <w:bCs/>
                <w:color w:val="222222"/>
                <w:sz w:val="18"/>
                <w:szCs w:val="18"/>
              </w:rPr>
              <w:t xml:space="preserve">Analog (1960–89)</w:t>
            </w:r>
          </w:p>
        </w:tc>
        <w:tc>
          <w:tcPr>
            <w:tcW w:type="dxa" w:w="1900"/>
            <w:shd w:fill="F5F6F8" w:val="clear"/>
            <w:tcMar>
              <w:top w:type="dxa" w:w="60"/>
              <w:left w:type="dxa" w:w="110"/>
              <w:bottom w:type="dxa" w:w="60"/>
              <w:right w:type="dxa" w:w="110"/>
            </w:tcMar>
          </w:tcPr>
          <w:p>
            <w:pPr>
              <w:jc w:val="left"/>
            </w:pPr>
            <w:r>
              <w:rPr>
                <w:b w:val="false"/>
                <w:bCs w:val="false"/>
                <w:color w:val="222222"/>
                <w:sz w:val="18"/>
                <w:szCs w:val="18"/>
              </w:rPr>
              <w:t xml:space="preserve">Logistic Regression</w:t>
            </w:r>
          </w:p>
        </w:tc>
        <w:tc>
          <w:tcPr>
            <w:tcW w:type="dxa" w:w="3360"/>
            <w:shd w:fill="F5F6F8" w:val="clear"/>
            <w:tcMar>
              <w:top w:type="dxa" w:w="60"/>
              <w:left w:type="dxa" w:w="110"/>
              <w:bottom w:type="dxa" w:w="60"/>
              <w:right w:type="dxa" w:w="110"/>
            </w:tcMar>
          </w:tcPr>
          <w:p>
            <w:pPr>
              <w:jc w:val="left"/>
            </w:pPr>
            <w:r>
              <w:rPr>
                <w:b w:val="false"/>
                <w:bCs w:val="false"/>
                <w:color w:val="222222"/>
                <w:sz w:val="18"/>
                <w:szCs w:val="18"/>
              </w:rPr>
              <w:t xml:space="preserve">C = 1, L1 penalty</w:t>
            </w:r>
          </w:p>
        </w:tc>
        <w:tc>
          <w:tcPr>
            <w:tcW w:type="dxa" w:w="1700"/>
            <w:shd w:fill="F5F6F8" w:val="clear"/>
            <w:tcMar>
              <w:top w:type="dxa" w:w="60"/>
              <w:left w:type="dxa" w:w="110"/>
              <w:bottom w:type="dxa" w:w="60"/>
              <w:right w:type="dxa" w:w="110"/>
            </w:tcMar>
          </w:tcPr>
          <w:p>
            <w:pPr>
              <w:jc w:val="center"/>
            </w:pPr>
            <w:r>
              <w:rPr>
                <w:b w:val="false"/>
                <w:bCs w:val="false"/>
                <w:color w:val="222222"/>
                <w:sz w:val="18"/>
                <w:szCs w:val="18"/>
              </w:rPr>
              <w:t xml:space="preserve">0.786</w:t>
            </w:r>
          </w:p>
        </w:tc>
      </w:tr>
      <w:tr>
        <w:tc>
          <w:tcPr>
            <w:tcW w:type="dxa" w:w="2400"/>
            <w:shd w:fill="E7F0EC"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900"/>
            <w:shd w:fill="E7F0EC" w:val="clear"/>
            <w:tcMar>
              <w:top w:type="dxa" w:w="60"/>
              <w:left w:type="dxa" w:w="110"/>
              <w:bottom w:type="dxa" w:w="60"/>
              <w:right w:type="dxa" w:w="110"/>
            </w:tcMar>
          </w:tcPr>
          <w:p>
            <w:pPr>
              <w:jc w:val="left"/>
            </w:pPr>
            <w:r>
              <w:rPr>
                <w:b/>
                <w:bCs/>
                <w:color w:val="2D6A4F"/>
                <w:sz w:val="18"/>
                <w:szCs w:val="18"/>
              </w:rPr>
              <w:t xml:space="preserve">Random Forest</w:t>
            </w:r>
          </w:p>
        </w:tc>
        <w:tc>
          <w:tcPr>
            <w:tcW w:type="dxa" w:w="3360"/>
            <w:shd w:fill="E7F0EC" w:val="clear"/>
            <w:tcMar>
              <w:top w:type="dxa" w:w="60"/>
              <w:left w:type="dxa" w:w="110"/>
              <w:bottom w:type="dxa" w:w="60"/>
              <w:right w:type="dxa" w:w="110"/>
            </w:tcMar>
          </w:tcPr>
          <w:p>
            <w:pPr>
              <w:jc w:val="left"/>
            </w:pPr>
            <w:r>
              <w:rPr>
                <w:b w:val="false"/>
                <w:bCs w:val="false"/>
                <w:color w:val="222222"/>
                <w:sz w:val="18"/>
                <w:szCs w:val="18"/>
              </w:rPr>
              <w:t xml:space="preserve">300 trees, max_depth = 20</w:t>
            </w:r>
          </w:p>
        </w:tc>
        <w:tc>
          <w:tcPr>
            <w:tcW w:type="dxa" w:w="1700"/>
            <w:shd w:fill="E7F0EC" w:val="clear"/>
            <w:tcMar>
              <w:top w:type="dxa" w:w="60"/>
              <w:left w:type="dxa" w:w="110"/>
              <w:bottom w:type="dxa" w:w="60"/>
              <w:right w:type="dxa" w:w="110"/>
            </w:tcMar>
          </w:tcPr>
          <w:p>
            <w:pPr>
              <w:jc w:val="center"/>
            </w:pPr>
            <w:r>
              <w:rPr>
                <w:b/>
                <w:bCs/>
                <w:color w:val="2D6A4F"/>
                <w:sz w:val="18"/>
                <w:szCs w:val="18"/>
              </w:rPr>
              <w:t xml:space="preserve">0.848</w:t>
            </w:r>
          </w:p>
        </w:tc>
      </w:tr>
      <w:tr>
        <w:tc>
          <w:tcPr>
            <w:tcW w:type="dxa" w:w="2400"/>
            <w:shd w:fill="F5F6F8"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900"/>
            <w:shd w:fill="F5F6F8" w:val="clear"/>
            <w:tcMar>
              <w:top w:type="dxa" w:w="60"/>
              <w:left w:type="dxa" w:w="110"/>
              <w:bottom w:type="dxa" w:w="60"/>
              <w:right w:type="dxa" w:w="110"/>
            </w:tcMar>
          </w:tcPr>
          <w:p>
            <w:pPr>
              <w:jc w:val="left"/>
            </w:pPr>
            <w:r>
              <w:rPr>
                <w:b w:val="false"/>
                <w:bCs w:val="false"/>
                <w:color w:val="222222"/>
                <w:sz w:val="18"/>
                <w:szCs w:val="18"/>
              </w:rPr>
              <w:t xml:space="preserve">KNN</w:t>
            </w:r>
          </w:p>
        </w:tc>
        <w:tc>
          <w:tcPr>
            <w:tcW w:type="dxa" w:w="3360"/>
            <w:shd w:fill="F5F6F8" w:val="clear"/>
            <w:tcMar>
              <w:top w:type="dxa" w:w="60"/>
              <w:left w:type="dxa" w:w="110"/>
              <w:bottom w:type="dxa" w:w="60"/>
              <w:right w:type="dxa" w:w="110"/>
            </w:tcMar>
          </w:tcPr>
          <w:p>
            <w:pPr>
              <w:jc w:val="left"/>
            </w:pPr>
            <w:r>
              <w:rPr>
                <w:b w:val="false"/>
                <w:bCs w:val="false"/>
                <w:color w:val="222222"/>
                <w:sz w:val="18"/>
                <w:szCs w:val="18"/>
              </w:rPr>
              <w:t xml:space="preserve">k = 75, distance-weighted</w:t>
            </w:r>
          </w:p>
        </w:tc>
        <w:tc>
          <w:tcPr>
            <w:tcW w:type="dxa" w:w="1700"/>
            <w:shd w:fill="F5F6F8" w:val="clear"/>
            <w:tcMar>
              <w:top w:type="dxa" w:w="60"/>
              <w:left w:type="dxa" w:w="110"/>
              <w:bottom w:type="dxa" w:w="60"/>
              <w:right w:type="dxa" w:w="110"/>
            </w:tcMar>
          </w:tcPr>
          <w:p>
            <w:pPr>
              <w:jc w:val="center"/>
            </w:pPr>
            <w:r>
              <w:rPr>
                <w:b w:val="false"/>
                <w:bCs w:val="false"/>
                <w:color w:val="222222"/>
                <w:sz w:val="18"/>
                <w:szCs w:val="18"/>
              </w:rPr>
              <w:t xml:space="preserve">0.810</w:t>
            </w:r>
          </w:p>
        </w:tc>
      </w:tr>
      <w:tr>
        <w:tc>
          <w:tcPr>
            <w:tcW w:type="dxa" w:w="2400"/>
            <w:shd w:fill="F5F6F8" w:val="clear"/>
            <w:tcMar>
              <w:top w:type="dxa" w:w="60"/>
              <w:left w:type="dxa" w:w="110"/>
              <w:bottom w:type="dxa" w:w="60"/>
              <w:right w:type="dxa" w:w="110"/>
            </w:tcMar>
          </w:tcPr>
          <w:p>
            <w:pPr>
              <w:jc w:val="left"/>
            </w:pPr>
            <w:r>
              <w:rPr>
                <w:b/>
                <w:bCs/>
                <w:color w:val="222222"/>
                <w:sz w:val="18"/>
                <w:szCs w:val="18"/>
              </w:rPr>
              <w:t xml:space="preserve">CD/Digital (1990–2009)</w:t>
            </w:r>
          </w:p>
        </w:tc>
        <w:tc>
          <w:tcPr>
            <w:tcW w:type="dxa" w:w="1900"/>
            <w:shd w:fill="F5F6F8" w:val="clear"/>
            <w:tcMar>
              <w:top w:type="dxa" w:w="60"/>
              <w:left w:type="dxa" w:w="110"/>
              <w:bottom w:type="dxa" w:w="60"/>
              <w:right w:type="dxa" w:w="110"/>
            </w:tcMar>
          </w:tcPr>
          <w:p>
            <w:pPr>
              <w:jc w:val="left"/>
            </w:pPr>
            <w:r>
              <w:rPr>
                <w:b w:val="false"/>
                <w:bCs w:val="false"/>
                <w:color w:val="222222"/>
                <w:sz w:val="18"/>
                <w:szCs w:val="18"/>
              </w:rPr>
              <w:t xml:space="preserve">Logistic Regression</w:t>
            </w:r>
          </w:p>
        </w:tc>
        <w:tc>
          <w:tcPr>
            <w:tcW w:type="dxa" w:w="3360"/>
            <w:shd w:fill="F5F6F8" w:val="clear"/>
            <w:tcMar>
              <w:top w:type="dxa" w:w="60"/>
              <w:left w:type="dxa" w:w="110"/>
              <w:bottom w:type="dxa" w:w="60"/>
              <w:right w:type="dxa" w:w="110"/>
            </w:tcMar>
          </w:tcPr>
          <w:p>
            <w:pPr>
              <w:jc w:val="left"/>
            </w:pPr>
            <w:r>
              <w:rPr>
                <w:b w:val="false"/>
                <w:bCs w:val="false"/>
                <w:color w:val="222222"/>
                <w:sz w:val="18"/>
                <w:szCs w:val="18"/>
              </w:rPr>
              <w:t xml:space="preserve">C = 100, L2 penalty</w:t>
            </w:r>
          </w:p>
        </w:tc>
        <w:tc>
          <w:tcPr>
            <w:tcW w:type="dxa" w:w="1700"/>
            <w:shd w:fill="F5F6F8" w:val="clear"/>
            <w:tcMar>
              <w:top w:type="dxa" w:w="60"/>
              <w:left w:type="dxa" w:w="110"/>
              <w:bottom w:type="dxa" w:w="60"/>
              <w:right w:type="dxa" w:w="110"/>
            </w:tcMar>
          </w:tcPr>
          <w:p>
            <w:pPr>
              <w:jc w:val="center"/>
            </w:pPr>
            <w:r>
              <w:rPr>
                <w:b w:val="false"/>
                <w:bCs w:val="false"/>
                <w:color w:val="222222"/>
                <w:sz w:val="18"/>
                <w:szCs w:val="18"/>
              </w:rPr>
              <w:t xml:space="preserve">0.874</w:t>
            </w:r>
          </w:p>
        </w:tc>
      </w:tr>
      <w:tr>
        <w:tc>
          <w:tcPr>
            <w:tcW w:type="dxa" w:w="2400"/>
            <w:shd w:fill="E7F0EC"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900"/>
            <w:shd w:fill="E7F0EC" w:val="clear"/>
            <w:tcMar>
              <w:top w:type="dxa" w:w="60"/>
              <w:left w:type="dxa" w:w="110"/>
              <w:bottom w:type="dxa" w:w="60"/>
              <w:right w:type="dxa" w:w="110"/>
            </w:tcMar>
          </w:tcPr>
          <w:p>
            <w:pPr>
              <w:jc w:val="left"/>
            </w:pPr>
            <w:r>
              <w:rPr>
                <w:b/>
                <w:bCs/>
                <w:color w:val="2D6A4F"/>
                <w:sz w:val="18"/>
                <w:szCs w:val="18"/>
              </w:rPr>
              <w:t xml:space="preserve">Random Forest</w:t>
            </w:r>
          </w:p>
        </w:tc>
        <w:tc>
          <w:tcPr>
            <w:tcW w:type="dxa" w:w="3360"/>
            <w:shd w:fill="E7F0EC" w:val="clear"/>
            <w:tcMar>
              <w:top w:type="dxa" w:w="60"/>
              <w:left w:type="dxa" w:w="110"/>
              <w:bottom w:type="dxa" w:w="60"/>
              <w:right w:type="dxa" w:w="110"/>
            </w:tcMar>
          </w:tcPr>
          <w:p>
            <w:pPr>
              <w:jc w:val="left"/>
            </w:pPr>
            <w:r>
              <w:rPr>
                <w:b w:val="false"/>
                <w:bCs w:val="false"/>
                <w:color w:val="222222"/>
                <w:sz w:val="18"/>
                <w:szCs w:val="18"/>
              </w:rPr>
              <w:t xml:space="preserve">300 trees, max_depth = 20</w:t>
            </w:r>
          </w:p>
        </w:tc>
        <w:tc>
          <w:tcPr>
            <w:tcW w:type="dxa" w:w="1700"/>
            <w:shd w:fill="E7F0EC" w:val="clear"/>
            <w:tcMar>
              <w:top w:type="dxa" w:w="60"/>
              <w:left w:type="dxa" w:w="110"/>
              <w:bottom w:type="dxa" w:w="60"/>
              <w:right w:type="dxa" w:w="110"/>
            </w:tcMar>
          </w:tcPr>
          <w:p>
            <w:pPr>
              <w:jc w:val="center"/>
            </w:pPr>
            <w:r>
              <w:rPr>
                <w:b/>
                <w:bCs/>
                <w:color w:val="2D6A4F"/>
                <w:sz w:val="18"/>
                <w:szCs w:val="18"/>
              </w:rPr>
              <w:t xml:space="preserve">0.917</w:t>
            </w:r>
          </w:p>
        </w:tc>
      </w:tr>
      <w:tr>
        <w:tc>
          <w:tcPr>
            <w:tcW w:type="dxa" w:w="2400"/>
            <w:shd w:fill="F5F6F8"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900"/>
            <w:shd w:fill="F5F6F8" w:val="clear"/>
            <w:tcMar>
              <w:top w:type="dxa" w:w="60"/>
              <w:left w:type="dxa" w:w="110"/>
              <w:bottom w:type="dxa" w:w="60"/>
              <w:right w:type="dxa" w:w="110"/>
            </w:tcMar>
          </w:tcPr>
          <w:p>
            <w:pPr>
              <w:jc w:val="left"/>
            </w:pPr>
            <w:r>
              <w:rPr>
                <w:b w:val="false"/>
                <w:bCs w:val="false"/>
                <w:color w:val="222222"/>
                <w:sz w:val="18"/>
                <w:szCs w:val="18"/>
              </w:rPr>
              <w:t xml:space="preserve">KNN</w:t>
            </w:r>
          </w:p>
        </w:tc>
        <w:tc>
          <w:tcPr>
            <w:tcW w:type="dxa" w:w="3360"/>
            <w:shd w:fill="F5F6F8" w:val="clear"/>
            <w:tcMar>
              <w:top w:type="dxa" w:w="60"/>
              <w:left w:type="dxa" w:w="110"/>
              <w:bottom w:type="dxa" w:w="60"/>
              <w:right w:type="dxa" w:w="110"/>
            </w:tcMar>
          </w:tcPr>
          <w:p>
            <w:pPr>
              <w:jc w:val="left"/>
            </w:pPr>
            <w:r>
              <w:rPr>
                <w:b w:val="false"/>
                <w:bCs w:val="false"/>
                <w:color w:val="222222"/>
                <w:sz w:val="18"/>
                <w:szCs w:val="18"/>
              </w:rPr>
              <w:t xml:space="preserve">k = 45, distance-weighted</w:t>
            </w:r>
          </w:p>
        </w:tc>
        <w:tc>
          <w:tcPr>
            <w:tcW w:type="dxa" w:w="1700"/>
            <w:shd w:fill="F5F6F8" w:val="clear"/>
            <w:tcMar>
              <w:top w:type="dxa" w:w="60"/>
              <w:left w:type="dxa" w:w="110"/>
              <w:bottom w:type="dxa" w:w="60"/>
              <w:right w:type="dxa" w:w="110"/>
            </w:tcMar>
          </w:tcPr>
          <w:p>
            <w:pPr>
              <w:jc w:val="center"/>
            </w:pPr>
            <w:r>
              <w:rPr>
                <w:b w:val="false"/>
                <w:bCs w:val="false"/>
                <w:color w:val="222222"/>
                <w:sz w:val="18"/>
                <w:szCs w:val="18"/>
              </w:rPr>
              <w:t xml:space="preserve">0.889</w:t>
            </w:r>
          </w:p>
        </w:tc>
      </w:tr>
      <w:tr>
        <w:tc>
          <w:tcPr>
            <w:tcW w:type="dxa" w:w="2400"/>
            <w:shd w:fill="F5F6F8" w:val="clear"/>
            <w:tcMar>
              <w:top w:type="dxa" w:w="60"/>
              <w:left w:type="dxa" w:w="110"/>
              <w:bottom w:type="dxa" w:w="60"/>
              <w:right w:type="dxa" w:w="110"/>
            </w:tcMar>
          </w:tcPr>
          <w:p>
            <w:pPr>
              <w:jc w:val="left"/>
            </w:pPr>
            <w:r>
              <w:rPr>
                <w:b/>
                <w:bCs/>
                <w:color w:val="222222"/>
                <w:sz w:val="18"/>
                <w:szCs w:val="18"/>
              </w:rPr>
              <w:t xml:space="preserve">Streaming (2010s)</w:t>
            </w:r>
          </w:p>
        </w:tc>
        <w:tc>
          <w:tcPr>
            <w:tcW w:type="dxa" w:w="1900"/>
            <w:shd w:fill="F5F6F8" w:val="clear"/>
            <w:tcMar>
              <w:top w:type="dxa" w:w="60"/>
              <w:left w:type="dxa" w:w="110"/>
              <w:bottom w:type="dxa" w:w="60"/>
              <w:right w:type="dxa" w:w="110"/>
            </w:tcMar>
          </w:tcPr>
          <w:p>
            <w:pPr>
              <w:jc w:val="left"/>
            </w:pPr>
            <w:r>
              <w:rPr>
                <w:b w:val="false"/>
                <w:bCs w:val="false"/>
                <w:color w:val="222222"/>
                <w:sz w:val="18"/>
                <w:szCs w:val="18"/>
              </w:rPr>
              <w:t xml:space="preserve">Logistic Regression</w:t>
            </w:r>
          </w:p>
        </w:tc>
        <w:tc>
          <w:tcPr>
            <w:tcW w:type="dxa" w:w="3360"/>
            <w:shd w:fill="F5F6F8" w:val="clear"/>
            <w:tcMar>
              <w:top w:type="dxa" w:w="60"/>
              <w:left w:type="dxa" w:w="110"/>
              <w:bottom w:type="dxa" w:w="60"/>
              <w:right w:type="dxa" w:w="110"/>
            </w:tcMar>
          </w:tcPr>
          <w:p>
            <w:pPr>
              <w:jc w:val="left"/>
            </w:pPr>
            <w:r>
              <w:rPr>
                <w:b w:val="false"/>
                <w:bCs w:val="false"/>
                <w:color w:val="222222"/>
                <w:sz w:val="18"/>
                <w:szCs w:val="18"/>
              </w:rPr>
              <w:t xml:space="preserve">C = 100, L2 penalty</w:t>
            </w:r>
          </w:p>
        </w:tc>
        <w:tc>
          <w:tcPr>
            <w:tcW w:type="dxa" w:w="1700"/>
            <w:shd w:fill="F5F6F8" w:val="clear"/>
            <w:tcMar>
              <w:top w:type="dxa" w:w="60"/>
              <w:left w:type="dxa" w:w="110"/>
              <w:bottom w:type="dxa" w:w="60"/>
              <w:right w:type="dxa" w:w="110"/>
            </w:tcMar>
          </w:tcPr>
          <w:p>
            <w:pPr>
              <w:jc w:val="center"/>
            </w:pPr>
            <w:r>
              <w:rPr>
                <w:b w:val="false"/>
                <w:bCs w:val="false"/>
                <w:color w:val="222222"/>
                <w:sz w:val="18"/>
                <w:szCs w:val="18"/>
              </w:rPr>
              <w:t xml:space="preserve">0.864</w:t>
            </w:r>
          </w:p>
        </w:tc>
      </w:tr>
      <w:tr>
        <w:tc>
          <w:tcPr>
            <w:tcW w:type="dxa" w:w="2400"/>
            <w:shd w:fill="E7F0EC"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900"/>
            <w:shd w:fill="E7F0EC" w:val="clear"/>
            <w:tcMar>
              <w:top w:type="dxa" w:w="60"/>
              <w:left w:type="dxa" w:w="110"/>
              <w:bottom w:type="dxa" w:w="60"/>
              <w:right w:type="dxa" w:w="110"/>
            </w:tcMar>
          </w:tcPr>
          <w:p>
            <w:pPr>
              <w:jc w:val="left"/>
            </w:pPr>
            <w:r>
              <w:rPr>
                <w:b/>
                <w:bCs/>
                <w:color w:val="2D6A4F"/>
                <w:sz w:val="18"/>
                <w:szCs w:val="18"/>
              </w:rPr>
              <w:t xml:space="preserve">Random Forest</w:t>
            </w:r>
          </w:p>
        </w:tc>
        <w:tc>
          <w:tcPr>
            <w:tcW w:type="dxa" w:w="3360"/>
            <w:shd w:fill="E7F0EC" w:val="clear"/>
            <w:tcMar>
              <w:top w:type="dxa" w:w="60"/>
              <w:left w:type="dxa" w:w="110"/>
              <w:bottom w:type="dxa" w:w="60"/>
              <w:right w:type="dxa" w:w="110"/>
            </w:tcMar>
          </w:tcPr>
          <w:p>
            <w:pPr>
              <w:jc w:val="left"/>
            </w:pPr>
            <w:r>
              <w:rPr>
                <w:b w:val="false"/>
                <w:bCs w:val="false"/>
                <w:color w:val="222222"/>
                <w:sz w:val="18"/>
                <w:szCs w:val="18"/>
              </w:rPr>
              <w:t xml:space="preserve">300 trees, max_depth = 20</w:t>
            </w:r>
          </w:p>
        </w:tc>
        <w:tc>
          <w:tcPr>
            <w:tcW w:type="dxa" w:w="1700"/>
            <w:shd w:fill="E7F0EC" w:val="clear"/>
            <w:tcMar>
              <w:top w:type="dxa" w:w="60"/>
              <w:left w:type="dxa" w:w="110"/>
              <w:bottom w:type="dxa" w:w="60"/>
              <w:right w:type="dxa" w:w="110"/>
            </w:tcMar>
          </w:tcPr>
          <w:p>
            <w:pPr>
              <w:jc w:val="center"/>
            </w:pPr>
            <w:r>
              <w:rPr>
                <w:b/>
                <w:bCs/>
                <w:color w:val="2D6A4F"/>
                <w:sz w:val="18"/>
                <w:szCs w:val="18"/>
              </w:rPr>
              <w:t xml:space="preserve">0.912</w:t>
            </w:r>
          </w:p>
        </w:tc>
      </w:tr>
      <w:tr>
        <w:tc>
          <w:tcPr>
            <w:tcW w:type="dxa" w:w="2400"/>
            <w:shd w:fill="F5F6F8"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900"/>
            <w:shd w:fill="F5F6F8" w:val="clear"/>
            <w:tcMar>
              <w:top w:type="dxa" w:w="60"/>
              <w:left w:type="dxa" w:w="110"/>
              <w:bottom w:type="dxa" w:w="60"/>
              <w:right w:type="dxa" w:w="110"/>
            </w:tcMar>
          </w:tcPr>
          <w:p>
            <w:pPr>
              <w:jc w:val="left"/>
            </w:pPr>
            <w:r>
              <w:rPr>
                <w:b w:val="false"/>
                <w:bCs w:val="false"/>
                <w:color w:val="222222"/>
                <w:sz w:val="18"/>
                <w:szCs w:val="18"/>
              </w:rPr>
              <w:t xml:space="preserve">KNN</w:t>
            </w:r>
          </w:p>
        </w:tc>
        <w:tc>
          <w:tcPr>
            <w:tcW w:type="dxa" w:w="3360"/>
            <w:shd w:fill="F5F6F8" w:val="clear"/>
            <w:tcMar>
              <w:top w:type="dxa" w:w="60"/>
              <w:left w:type="dxa" w:w="110"/>
              <w:bottom w:type="dxa" w:w="60"/>
              <w:right w:type="dxa" w:w="110"/>
            </w:tcMar>
          </w:tcPr>
          <w:p>
            <w:pPr>
              <w:jc w:val="left"/>
            </w:pPr>
            <w:r>
              <w:rPr>
                <w:b w:val="false"/>
                <w:bCs w:val="false"/>
                <w:color w:val="222222"/>
                <w:sz w:val="18"/>
                <w:szCs w:val="18"/>
              </w:rPr>
              <w:t xml:space="preserve">k = 75, distance-weighted</w:t>
            </w:r>
          </w:p>
        </w:tc>
        <w:tc>
          <w:tcPr>
            <w:tcW w:type="dxa" w:w="1700"/>
            <w:shd w:fill="F5F6F8" w:val="clear"/>
            <w:tcMar>
              <w:top w:type="dxa" w:w="60"/>
              <w:left w:type="dxa" w:w="110"/>
              <w:bottom w:type="dxa" w:w="60"/>
              <w:right w:type="dxa" w:w="110"/>
            </w:tcMar>
          </w:tcPr>
          <w:p>
            <w:pPr>
              <w:jc w:val="center"/>
            </w:pPr>
            <w:r>
              <w:rPr>
                <w:b w:val="false"/>
                <w:bCs w:val="false"/>
                <w:color w:val="222222"/>
                <w:sz w:val="18"/>
                <w:szCs w:val="18"/>
              </w:rPr>
              <w:t xml:space="preserve">0.863</w:t>
            </w:r>
          </w:p>
        </w:tc>
      </w:tr>
    </w:tbl>
    <w:p>
      <w:pPr>
        <w:pStyle w:val="Heading2"/>
      </w:pPr>
      <w:r>
        <w:t xml:space="preserve">5.2 Classifier performance</w:t>
      </w:r>
    </w:p>
    <w:p>
      <w:pPr>
        <w:spacing w:after="140"/>
      </w:pPr>
      <w:r>
        <w:t xml:space="preserve">With tuned settings, Random Forest was the strongest classifier in every era (Table 3, Figure 5), with ROC-AUC of 0.848 (Analog), 0.917 (CD/Digital), and 0.912 (Streaming). KNN became competitive in the CD/Digital era (0.889) once distance-weighted, but did not overtake the forest. A clear secondary pattern persists: hits became more predictable from audio features over time, with per-decade Random-Forest AUC rising from about 0.85 in the 1960s–70s to a peak of 0.92 in the 2000s before easing slightly in the 2010s (Figure 5b).</w:t>
      </w:r>
    </w:p>
    <w:p>
      <w:pPr>
        <w:spacing w:after="120"/>
      </w:pPr>
      <w:r>
        <w:rPr>
          <w:b/>
          <w:bCs/>
          <w:sz w:val="19"/>
          <w:szCs w:val="19"/>
        </w:rPr>
        <w:t xml:space="preserve">Table 3. </w:t>
      </w:r>
      <w:r>
        <w:rPr>
          <w:i/>
          <w:iCs/>
          <w:color w:val="555555"/>
          <w:sz w:val="19"/>
          <w:szCs w:val="19"/>
        </w:rPr>
        <w:t xml:space="preserve">Cross-validated performance of the tuned classifiers by era. Random Forest, the best model per era, is shaded.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0"/>
        <w:gridCol w:w="1860"/>
        <w:gridCol w:w="1753"/>
        <w:gridCol w:w="1753"/>
        <w:gridCol w:w="1754"/>
      </w:tblGrid>
      <w:tr>
        <w:trPr>
          <w:tblHeader/>
        </w:trPr>
        <w:tc>
          <w:tcPr>
            <w:tcW w:type="dxa" w:w="2240"/>
            <w:shd w:fill="15212B" w:val="clear"/>
            <w:tcMar>
              <w:top w:type="dxa" w:w="70"/>
              <w:left w:type="dxa" w:w="110"/>
              <w:bottom w:type="dxa" w:w="70"/>
              <w:right w:type="dxa" w:w="110"/>
            </w:tcMar>
          </w:tcPr>
          <w:p>
            <w:r>
              <w:rPr>
                <w:b/>
                <w:bCs/>
                <w:color w:val="FFFFFF"/>
                <w:sz w:val="18"/>
                <w:szCs w:val="18"/>
              </w:rPr>
              <w:t xml:space="preserve">Era</w:t>
            </w:r>
          </w:p>
        </w:tc>
        <w:tc>
          <w:tcPr>
            <w:tcW w:type="dxa" w:w="1860"/>
            <w:shd w:fill="15212B" w:val="clear"/>
            <w:tcMar>
              <w:top w:type="dxa" w:w="70"/>
              <w:left w:type="dxa" w:w="110"/>
              <w:bottom w:type="dxa" w:w="70"/>
              <w:right w:type="dxa" w:w="110"/>
            </w:tcMar>
          </w:tcPr>
          <w:p>
            <w:r>
              <w:rPr>
                <w:b/>
                <w:bCs/>
                <w:color w:val="FFFFFF"/>
                <w:sz w:val="18"/>
                <w:szCs w:val="18"/>
              </w:rPr>
              <w:t xml:space="preserve">Classifier</w:t>
            </w:r>
          </w:p>
        </w:tc>
        <w:tc>
          <w:tcPr>
            <w:tcW w:type="dxa" w:w="1753"/>
            <w:shd w:fill="15212B" w:val="clear"/>
            <w:tcMar>
              <w:top w:type="dxa" w:w="70"/>
              <w:left w:type="dxa" w:w="110"/>
              <w:bottom w:type="dxa" w:w="70"/>
              <w:right w:type="dxa" w:w="110"/>
            </w:tcMar>
          </w:tcPr>
          <w:p>
            <w:r>
              <w:rPr>
                <w:b/>
                <w:bCs/>
                <w:color w:val="FFFFFF"/>
                <w:sz w:val="18"/>
                <w:szCs w:val="18"/>
              </w:rPr>
              <w:t xml:space="preserve">Accuracy</w:t>
            </w:r>
          </w:p>
        </w:tc>
        <w:tc>
          <w:tcPr>
            <w:tcW w:type="dxa" w:w="1753"/>
            <w:shd w:fill="15212B" w:val="clear"/>
            <w:tcMar>
              <w:top w:type="dxa" w:w="70"/>
              <w:left w:type="dxa" w:w="110"/>
              <w:bottom w:type="dxa" w:w="70"/>
              <w:right w:type="dxa" w:w="110"/>
            </w:tcMar>
          </w:tcPr>
          <w:p>
            <w:r>
              <w:rPr>
                <w:b/>
                <w:bCs/>
                <w:color w:val="FFFFFF"/>
                <w:sz w:val="18"/>
                <w:szCs w:val="18"/>
              </w:rPr>
              <w:t xml:space="preserve">F1</w:t>
            </w:r>
          </w:p>
        </w:tc>
        <w:tc>
          <w:tcPr>
            <w:tcW w:type="dxa" w:w="1754"/>
            <w:shd w:fill="15212B" w:val="clear"/>
            <w:tcMar>
              <w:top w:type="dxa" w:w="70"/>
              <w:left w:type="dxa" w:w="110"/>
              <w:bottom w:type="dxa" w:w="70"/>
              <w:right w:type="dxa" w:w="110"/>
            </w:tcMar>
          </w:tcPr>
          <w:p>
            <w:r>
              <w:rPr>
                <w:b/>
                <w:bCs/>
                <w:color w:val="FFFFFF"/>
                <w:sz w:val="18"/>
                <w:szCs w:val="18"/>
              </w:rPr>
              <w:t xml:space="preserve">ROC-AUC</w:t>
            </w:r>
          </w:p>
        </w:tc>
      </w:tr>
      <w:tr>
        <w:tc>
          <w:tcPr>
            <w:tcW w:type="dxa" w:w="2240"/>
            <w:shd w:fill="F5F6F8" w:val="clear"/>
            <w:tcMar>
              <w:top w:type="dxa" w:w="60"/>
              <w:left w:type="dxa" w:w="110"/>
              <w:bottom w:type="dxa" w:w="60"/>
              <w:right w:type="dxa" w:w="110"/>
            </w:tcMar>
          </w:tcPr>
          <w:p>
            <w:pPr>
              <w:jc w:val="left"/>
            </w:pPr>
            <w:r>
              <w:rPr>
                <w:b/>
                <w:bCs/>
                <w:color w:val="222222"/>
                <w:sz w:val="18"/>
                <w:szCs w:val="18"/>
              </w:rPr>
              <w:t xml:space="preserve">Analog (1960–89)</w:t>
            </w:r>
          </w:p>
        </w:tc>
        <w:tc>
          <w:tcPr>
            <w:tcW w:type="dxa" w:w="1860"/>
            <w:shd w:fill="F5F6F8" w:val="clear"/>
            <w:tcMar>
              <w:top w:type="dxa" w:w="60"/>
              <w:left w:type="dxa" w:w="110"/>
              <w:bottom w:type="dxa" w:w="60"/>
              <w:right w:type="dxa" w:w="110"/>
            </w:tcMar>
          </w:tcPr>
          <w:p>
            <w:pPr>
              <w:jc w:val="left"/>
            </w:pPr>
            <w:r>
              <w:rPr>
                <w:b w:val="false"/>
                <w:bCs w:val="false"/>
                <w:color w:val="222222"/>
                <w:sz w:val="18"/>
                <w:szCs w:val="18"/>
              </w:rPr>
              <w:t xml:space="preserve">Logistic Regression</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0.713</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0.734</w:t>
            </w:r>
          </w:p>
        </w:tc>
        <w:tc>
          <w:tcPr>
            <w:tcW w:type="dxa" w:w="1754"/>
            <w:shd w:fill="F5F6F8" w:val="clear"/>
            <w:tcMar>
              <w:top w:type="dxa" w:w="60"/>
              <w:left w:type="dxa" w:w="110"/>
              <w:bottom w:type="dxa" w:w="60"/>
              <w:right w:type="dxa" w:w="110"/>
            </w:tcMar>
          </w:tcPr>
          <w:p>
            <w:pPr>
              <w:jc w:val="center"/>
            </w:pPr>
            <w:r>
              <w:rPr>
                <w:b w:val="false"/>
                <w:bCs w:val="false"/>
                <w:color w:val="222222"/>
                <w:sz w:val="18"/>
                <w:szCs w:val="18"/>
              </w:rPr>
              <w:t xml:space="preserve">0.786</w:t>
            </w:r>
          </w:p>
        </w:tc>
      </w:tr>
      <w:tr>
        <w:tc>
          <w:tcPr>
            <w:tcW w:type="dxa" w:w="2240"/>
            <w:shd w:fill="E7F0EC"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860"/>
            <w:shd w:fill="E7F0EC" w:val="clear"/>
            <w:tcMar>
              <w:top w:type="dxa" w:w="60"/>
              <w:left w:type="dxa" w:w="110"/>
              <w:bottom w:type="dxa" w:w="60"/>
              <w:right w:type="dxa" w:w="110"/>
            </w:tcMar>
          </w:tcPr>
          <w:p>
            <w:pPr>
              <w:jc w:val="left"/>
            </w:pPr>
            <w:r>
              <w:rPr>
                <w:b/>
                <w:bCs/>
                <w:color w:val="2D6A4F"/>
                <w:sz w:val="18"/>
                <w:szCs w:val="18"/>
              </w:rPr>
              <w:t xml:space="preserve">Random Forest</w:t>
            </w:r>
          </w:p>
        </w:tc>
        <w:tc>
          <w:tcPr>
            <w:tcW w:type="dxa" w:w="1753"/>
            <w:shd w:fill="E7F0EC" w:val="clear"/>
            <w:tcMar>
              <w:top w:type="dxa" w:w="60"/>
              <w:left w:type="dxa" w:w="110"/>
              <w:bottom w:type="dxa" w:w="60"/>
              <w:right w:type="dxa" w:w="110"/>
            </w:tcMar>
          </w:tcPr>
          <w:p>
            <w:pPr>
              <w:jc w:val="center"/>
            </w:pPr>
            <w:r>
              <w:rPr>
                <w:b w:val="false"/>
                <w:bCs w:val="false"/>
                <w:color w:val="222222"/>
                <w:sz w:val="18"/>
                <w:szCs w:val="18"/>
              </w:rPr>
              <w:t xml:space="preserve">0.769</w:t>
            </w:r>
          </w:p>
        </w:tc>
        <w:tc>
          <w:tcPr>
            <w:tcW w:type="dxa" w:w="1753"/>
            <w:shd w:fill="E7F0EC" w:val="clear"/>
            <w:tcMar>
              <w:top w:type="dxa" w:w="60"/>
              <w:left w:type="dxa" w:w="110"/>
              <w:bottom w:type="dxa" w:w="60"/>
              <w:right w:type="dxa" w:w="110"/>
            </w:tcMar>
          </w:tcPr>
          <w:p>
            <w:pPr>
              <w:jc w:val="center"/>
            </w:pPr>
            <w:r>
              <w:rPr>
                <w:b w:val="false"/>
                <w:bCs w:val="false"/>
                <w:color w:val="222222"/>
                <w:sz w:val="18"/>
                <w:szCs w:val="18"/>
              </w:rPr>
              <w:t xml:space="preserve">0.782</w:t>
            </w:r>
          </w:p>
        </w:tc>
        <w:tc>
          <w:tcPr>
            <w:tcW w:type="dxa" w:w="1754"/>
            <w:shd w:fill="E7F0EC" w:val="clear"/>
            <w:tcMar>
              <w:top w:type="dxa" w:w="60"/>
              <w:left w:type="dxa" w:w="110"/>
              <w:bottom w:type="dxa" w:w="60"/>
              <w:right w:type="dxa" w:w="110"/>
            </w:tcMar>
          </w:tcPr>
          <w:p>
            <w:pPr>
              <w:jc w:val="center"/>
            </w:pPr>
            <w:r>
              <w:rPr>
                <w:b/>
                <w:bCs/>
                <w:color w:val="2D6A4F"/>
                <w:sz w:val="18"/>
                <w:szCs w:val="18"/>
              </w:rPr>
              <w:t xml:space="preserve">0.848</w:t>
            </w:r>
          </w:p>
        </w:tc>
      </w:tr>
      <w:tr>
        <w:tc>
          <w:tcPr>
            <w:tcW w:type="dxa" w:w="2240"/>
            <w:shd w:fill="F5F6F8"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860"/>
            <w:shd w:fill="F5F6F8" w:val="clear"/>
            <w:tcMar>
              <w:top w:type="dxa" w:w="60"/>
              <w:left w:type="dxa" w:w="110"/>
              <w:bottom w:type="dxa" w:w="60"/>
              <w:right w:type="dxa" w:w="110"/>
            </w:tcMar>
          </w:tcPr>
          <w:p>
            <w:pPr>
              <w:jc w:val="left"/>
            </w:pPr>
            <w:r>
              <w:rPr>
                <w:b w:val="false"/>
                <w:bCs w:val="false"/>
                <w:color w:val="222222"/>
                <w:sz w:val="18"/>
                <w:szCs w:val="18"/>
              </w:rPr>
              <w:t xml:space="preserve">KNN</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0.723</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0.764</w:t>
            </w:r>
          </w:p>
        </w:tc>
        <w:tc>
          <w:tcPr>
            <w:tcW w:type="dxa" w:w="1754"/>
            <w:shd w:fill="F5F6F8" w:val="clear"/>
            <w:tcMar>
              <w:top w:type="dxa" w:w="60"/>
              <w:left w:type="dxa" w:w="110"/>
              <w:bottom w:type="dxa" w:w="60"/>
              <w:right w:type="dxa" w:w="110"/>
            </w:tcMar>
          </w:tcPr>
          <w:p>
            <w:pPr>
              <w:jc w:val="center"/>
            </w:pPr>
            <w:r>
              <w:rPr>
                <w:b w:val="false"/>
                <w:bCs w:val="false"/>
                <w:color w:val="222222"/>
                <w:sz w:val="18"/>
                <w:szCs w:val="18"/>
              </w:rPr>
              <w:t xml:space="preserve">0.810</w:t>
            </w:r>
          </w:p>
        </w:tc>
      </w:tr>
      <w:tr>
        <w:tc>
          <w:tcPr>
            <w:tcW w:type="dxa" w:w="2240"/>
            <w:shd w:fill="F5F6F8" w:val="clear"/>
            <w:tcMar>
              <w:top w:type="dxa" w:w="60"/>
              <w:left w:type="dxa" w:w="110"/>
              <w:bottom w:type="dxa" w:w="60"/>
              <w:right w:type="dxa" w:w="110"/>
            </w:tcMar>
          </w:tcPr>
          <w:p>
            <w:pPr>
              <w:jc w:val="left"/>
            </w:pPr>
            <w:r>
              <w:rPr>
                <w:b/>
                <w:bCs/>
                <w:color w:val="222222"/>
                <w:sz w:val="18"/>
                <w:szCs w:val="18"/>
              </w:rPr>
              <w:t xml:space="preserve">CD/Digital (1990–2009)</w:t>
            </w:r>
          </w:p>
        </w:tc>
        <w:tc>
          <w:tcPr>
            <w:tcW w:type="dxa" w:w="1860"/>
            <w:shd w:fill="F5F6F8" w:val="clear"/>
            <w:tcMar>
              <w:top w:type="dxa" w:w="60"/>
              <w:left w:type="dxa" w:w="110"/>
              <w:bottom w:type="dxa" w:w="60"/>
              <w:right w:type="dxa" w:w="110"/>
            </w:tcMar>
          </w:tcPr>
          <w:p>
            <w:pPr>
              <w:jc w:val="left"/>
            </w:pPr>
            <w:r>
              <w:rPr>
                <w:b w:val="false"/>
                <w:bCs w:val="false"/>
                <w:color w:val="222222"/>
                <w:sz w:val="18"/>
                <w:szCs w:val="18"/>
              </w:rPr>
              <w:t xml:space="preserve">Logistic Regression</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0.800</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0.810</w:t>
            </w:r>
          </w:p>
        </w:tc>
        <w:tc>
          <w:tcPr>
            <w:tcW w:type="dxa" w:w="1754"/>
            <w:shd w:fill="F5F6F8" w:val="clear"/>
            <w:tcMar>
              <w:top w:type="dxa" w:w="60"/>
              <w:left w:type="dxa" w:w="110"/>
              <w:bottom w:type="dxa" w:w="60"/>
              <w:right w:type="dxa" w:w="110"/>
            </w:tcMar>
          </w:tcPr>
          <w:p>
            <w:pPr>
              <w:jc w:val="center"/>
            </w:pPr>
            <w:r>
              <w:rPr>
                <w:b w:val="false"/>
                <w:bCs w:val="false"/>
                <w:color w:val="222222"/>
                <w:sz w:val="18"/>
                <w:szCs w:val="18"/>
              </w:rPr>
              <w:t xml:space="preserve">0.874</w:t>
            </w:r>
          </w:p>
        </w:tc>
      </w:tr>
      <w:tr>
        <w:tc>
          <w:tcPr>
            <w:tcW w:type="dxa" w:w="2240"/>
            <w:shd w:fill="E7F0EC"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860"/>
            <w:shd w:fill="E7F0EC" w:val="clear"/>
            <w:tcMar>
              <w:top w:type="dxa" w:w="60"/>
              <w:left w:type="dxa" w:w="110"/>
              <w:bottom w:type="dxa" w:w="60"/>
              <w:right w:type="dxa" w:w="110"/>
            </w:tcMar>
          </w:tcPr>
          <w:p>
            <w:pPr>
              <w:jc w:val="left"/>
            </w:pPr>
            <w:r>
              <w:rPr>
                <w:b/>
                <w:bCs/>
                <w:color w:val="2D6A4F"/>
                <w:sz w:val="18"/>
                <w:szCs w:val="18"/>
              </w:rPr>
              <w:t xml:space="preserve">Random Forest</w:t>
            </w:r>
          </w:p>
        </w:tc>
        <w:tc>
          <w:tcPr>
            <w:tcW w:type="dxa" w:w="1753"/>
            <w:shd w:fill="E7F0EC" w:val="clear"/>
            <w:tcMar>
              <w:top w:type="dxa" w:w="60"/>
              <w:left w:type="dxa" w:w="110"/>
              <w:bottom w:type="dxa" w:w="60"/>
              <w:right w:type="dxa" w:w="110"/>
            </w:tcMar>
          </w:tcPr>
          <w:p>
            <w:pPr>
              <w:jc w:val="center"/>
            </w:pPr>
            <w:r>
              <w:rPr>
                <w:b w:val="false"/>
                <w:bCs w:val="false"/>
                <w:color w:val="222222"/>
                <w:sz w:val="18"/>
                <w:szCs w:val="18"/>
              </w:rPr>
              <w:t xml:space="preserve">0.846</w:t>
            </w:r>
          </w:p>
        </w:tc>
        <w:tc>
          <w:tcPr>
            <w:tcW w:type="dxa" w:w="1753"/>
            <w:shd w:fill="E7F0EC" w:val="clear"/>
            <w:tcMar>
              <w:top w:type="dxa" w:w="60"/>
              <w:left w:type="dxa" w:w="110"/>
              <w:bottom w:type="dxa" w:w="60"/>
              <w:right w:type="dxa" w:w="110"/>
            </w:tcMar>
          </w:tcPr>
          <w:p>
            <w:pPr>
              <w:jc w:val="center"/>
            </w:pPr>
            <w:r>
              <w:rPr>
                <w:b w:val="false"/>
                <w:bCs w:val="false"/>
                <w:color w:val="222222"/>
                <w:sz w:val="18"/>
                <w:szCs w:val="18"/>
              </w:rPr>
              <w:t xml:space="preserve">0.851</w:t>
            </w:r>
          </w:p>
        </w:tc>
        <w:tc>
          <w:tcPr>
            <w:tcW w:type="dxa" w:w="1754"/>
            <w:shd w:fill="E7F0EC" w:val="clear"/>
            <w:tcMar>
              <w:top w:type="dxa" w:w="60"/>
              <w:left w:type="dxa" w:w="110"/>
              <w:bottom w:type="dxa" w:w="60"/>
              <w:right w:type="dxa" w:w="110"/>
            </w:tcMar>
          </w:tcPr>
          <w:p>
            <w:pPr>
              <w:jc w:val="center"/>
            </w:pPr>
            <w:r>
              <w:rPr>
                <w:b/>
                <w:bCs/>
                <w:color w:val="2D6A4F"/>
                <w:sz w:val="18"/>
                <w:szCs w:val="18"/>
              </w:rPr>
              <w:t xml:space="preserve">0.917</w:t>
            </w:r>
          </w:p>
        </w:tc>
      </w:tr>
      <w:tr>
        <w:tc>
          <w:tcPr>
            <w:tcW w:type="dxa" w:w="2240"/>
            <w:shd w:fill="F5F6F8"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860"/>
            <w:shd w:fill="F5F6F8" w:val="clear"/>
            <w:tcMar>
              <w:top w:type="dxa" w:w="60"/>
              <w:left w:type="dxa" w:w="110"/>
              <w:bottom w:type="dxa" w:w="60"/>
              <w:right w:type="dxa" w:w="110"/>
            </w:tcMar>
          </w:tcPr>
          <w:p>
            <w:pPr>
              <w:jc w:val="left"/>
            </w:pPr>
            <w:r>
              <w:rPr>
                <w:b w:val="false"/>
                <w:bCs w:val="false"/>
                <w:color w:val="222222"/>
                <w:sz w:val="18"/>
                <w:szCs w:val="18"/>
              </w:rPr>
              <w:t xml:space="preserve">KNN</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0.797</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0.823</w:t>
            </w:r>
          </w:p>
        </w:tc>
        <w:tc>
          <w:tcPr>
            <w:tcW w:type="dxa" w:w="1754"/>
            <w:shd w:fill="F5F6F8" w:val="clear"/>
            <w:tcMar>
              <w:top w:type="dxa" w:w="60"/>
              <w:left w:type="dxa" w:w="110"/>
              <w:bottom w:type="dxa" w:w="60"/>
              <w:right w:type="dxa" w:w="110"/>
            </w:tcMar>
          </w:tcPr>
          <w:p>
            <w:pPr>
              <w:jc w:val="center"/>
            </w:pPr>
            <w:r>
              <w:rPr>
                <w:b w:val="false"/>
                <w:bCs w:val="false"/>
                <w:color w:val="222222"/>
                <w:sz w:val="18"/>
                <w:szCs w:val="18"/>
              </w:rPr>
              <w:t xml:space="preserve">0.889</w:t>
            </w:r>
          </w:p>
        </w:tc>
      </w:tr>
      <w:tr>
        <w:tc>
          <w:tcPr>
            <w:tcW w:type="dxa" w:w="2240"/>
            <w:shd w:fill="F5F6F8" w:val="clear"/>
            <w:tcMar>
              <w:top w:type="dxa" w:w="60"/>
              <w:left w:type="dxa" w:w="110"/>
              <w:bottom w:type="dxa" w:w="60"/>
              <w:right w:type="dxa" w:w="110"/>
            </w:tcMar>
          </w:tcPr>
          <w:p>
            <w:pPr>
              <w:jc w:val="left"/>
            </w:pPr>
            <w:r>
              <w:rPr>
                <w:b/>
                <w:bCs/>
                <w:color w:val="222222"/>
                <w:sz w:val="18"/>
                <w:szCs w:val="18"/>
              </w:rPr>
              <w:t xml:space="preserve">Streaming (2010s)</w:t>
            </w:r>
          </w:p>
        </w:tc>
        <w:tc>
          <w:tcPr>
            <w:tcW w:type="dxa" w:w="1860"/>
            <w:shd w:fill="F5F6F8" w:val="clear"/>
            <w:tcMar>
              <w:top w:type="dxa" w:w="60"/>
              <w:left w:type="dxa" w:w="110"/>
              <w:bottom w:type="dxa" w:w="60"/>
              <w:right w:type="dxa" w:w="110"/>
            </w:tcMar>
          </w:tcPr>
          <w:p>
            <w:pPr>
              <w:jc w:val="left"/>
            </w:pPr>
            <w:r>
              <w:rPr>
                <w:b w:val="false"/>
                <w:bCs w:val="false"/>
                <w:color w:val="222222"/>
                <w:sz w:val="18"/>
                <w:szCs w:val="18"/>
              </w:rPr>
              <w:t xml:space="preserve">Logistic Regression</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0.804</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0.819</w:t>
            </w:r>
          </w:p>
        </w:tc>
        <w:tc>
          <w:tcPr>
            <w:tcW w:type="dxa" w:w="1754"/>
            <w:shd w:fill="F5F6F8" w:val="clear"/>
            <w:tcMar>
              <w:top w:type="dxa" w:w="60"/>
              <w:left w:type="dxa" w:w="110"/>
              <w:bottom w:type="dxa" w:w="60"/>
              <w:right w:type="dxa" w:w="110"/>
            </w:tcMar>
          </w:tcPr>
          <w:p>
            <w:pPr>
              <w:jc w:val="center"/>
            </w:pPr>
            <w:r>
              <w:rPr>
                <w:b w:val="false"/>
                <w:bCs w:val="false"/>
                <w:color w:val="222222"/>
                <w:sz w:val="18"/>
                <w:szCs w:val="18"/>
              </w:rPr>
              <w:t xml:space="preserve">0.864</w:t>
            </w:r>
          </w:p>
        </w:tc>
      </w:tr>
      <w:tr>
        <w:tc>
          <w:tcPr>
            <w:tcW w:type="dxa" w:w="2240"/>
            <w:shd w:fill="E7F0EC"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860"/>
            <w:shd w:fill="E7F0EC" w:val="clear"/>
            <w:tcMar>
              <w:top w:type="dxa" w:w="60"/>
              <w:left w:type="dxa" w:w="110"/>
              <w:bottom w:type="dxa" w:w="60"/>
              <w:right w:type="dxa" w:w="110"/>
            </w:tcMar>
          </w:tcPr>
          <w:p>
            <w:pPr>
              <w:jc w:val="left"/>
            </w:pPr>
            <w:r>
              <w:rPr>
                <w:b/>
                <w:bCs/>
                <w:color w:val="2D6A4F"/>
                <w:sz w:val="18"/>
                <w:szCs w:val="18"/>
              </w:rPr>
              <w:t xml:space="preserve">Random Forest</w:t>
            </w:r>
          </w:p>
        </w:tc>
        <w:tc>
          <w:tcPr>
            <w:tcW w:type="dxa" w:w="1753"/>
            <w:shd w:fill="E7F0EC" w:val="clear"/>
            <w:tcMar>
              <w:top w:type="dxa" w:w="60"/>
              <w:left w:type="dxa" w:w="110"/>
              <w:bottom w:type="dxa" w:w="60"/>
              <w:right w:type="dxa" w:w="110"/>
            </w:tcMar>
          </w:tcPr>
          <w:p>
            <w:pPr>
              <w:jc w:val="center"/>
            </w:pPr>
            <w:r>
              <w:rPr>
                <w:b w:val="false"/>
                <w:bCs w:val="false"/>
                <w:color w:val="222222"/>
                <w:sz w:val="18"/>
                <w:szCs w:val="18"/>
              </w:rPr>
              <w:t xml:space="preserve">0.843</w:t>
            </w:r>
          </w:p>
        </w:tc>
        <w:tc>
          <w:tcPr>
            <w:tcW w:type="dxa" w:w="1753"/>
            <w:shd w:fill="E7F0EC" w:val="clear"/>
            <w:tcMar>
              <w:top w:type="dxa" w:w="60"/>
              <w:left w:type="dxa" w:w="110"/>
              <w:bottom w:type="dxa" w:w="60"/>
              <w:right w:type="dxa" w:w="110"/>
            </w:tcMar>
          </w:tcPr>
          <w:p>
            <w:pPr>
              <w:jc w:val="center"/>
            </w:pPr>
            <w:r>
              <w:rPr>
                <w:b w:val="false"/>
                <w:bCs w:val="false"/>
                <w:color w:val="222222"/>
                <w:sz w:val="18"/>
                <w:szCs w:val="18"/>
              </w:rPr>
              <w:t xml:space="preserve">0.850</w:t>
            </w:r>
          </w:p>
        </w:tc>
        <w:tc>
          <w:tcPr>
            <w:tcW w:type="dxa" w:w="1754"/>
            <w:shd w:fill="E7F0EC" w:val="clear"/>
            <w:tcMar>
              <w:top w:type="dxa" w:w="60"/>
              <w:left w:type="dxa" w:w="110"/>
              <w:bottom w:type="dxa" w:w="60"/>
              <w:right w:type="dxa" w:w="110"/>
            </w:tcMar>
          </w:tcPr>
          <w:p>
            <w:pPr>
              <w:jc w:val="center"/>
            </w:pPr>
            <w:r>
              <w:rPr>
                <w:b/>
                <w:bCs/>
                <w:color w:val="2D6A4F"/>
                <w:sz w:val="18"/>
                <w:szCs w:val="18"/>
              </w:rPr>
              <w:t xml:space="preserve">0.912</w:t>
            </w:r>
          </w:p>
        </w:tc>
      </w:tr>
      <w:tr>
        <w:tc>
          <w:tcPr>
            <w:tcW w:type="dxa" w:w="2240"/>
            <w:shd w:fill="F5F6F8" w:val="clear"/>
            <w:tcMar>
              <w:top w:type="dxa" w:w="60"/>
              <w:left w:type="dxa" w:w="110"/>
              <w:bottom w:type="dxa" w:w="60"/>
              <w:right w:type="dxa" w:w="110"/>
            </w:tcMar>
          </w:tcPr>
          <w:p>
            <w:pPr>
              <w:jc w:val="left"/>
            </w:pPr>
            <w:r>
              <w:rPr>
                <w:b w:val="false"/>
                <w:bCs w:val="false"/>
                <w:color w:val="222222"/>
                <w:sz w:val="18"/>
                <w:szCs w:val="18"/>
              </w:rPr>
              <w:t xml:space="preserve"/>
            </w:r>
          </w:p>
        </w:tc>
        <w:tc>
          <w:tcPr>
            <w:tcW w:type="dxa" w:w="1860"/>
            <w:shd w:fill="F5F6F8" w:val="clear"/>
            <w:tcMar>
              <w:top w:type="dxa" w:w="60"/>
              <w:left w:type="dxa" w:w="110"/>
              <w:bottom w:type="dxa" w:w="60"/>
              <w:right w:type="dxa" w:w="110"/>
            </w:tcMar>
          </w:tcPr>
          <w:p>
            <w:pPr>
              <w:jc w:val="left"/>
            </w:pPr>
            <w:r>
              <w:rPr>
                <w:b w:val="false"/>
                <w:bCs w:val="false"/>
                <w:color w:val="222222"/>
                <w:sz w:val="18"/>
                <w:szCs w:val="18"/>
              </w:rPr>
              <w:t xml:space="preserve">KNN</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0.769</w:t>
            </w:r>
          </w:p>
        </w:tc>
        <w:tc>
          <w:tcPr>
            <w:tcW w:type="dxa" w:w="1753"/>
            <w:shd w:fill="F5F6F8" w:val="clear"/>
            <w:tcMar>
              <w:top w:type="dxa" w:w="60"/>
              <w:left w:type="dxa" w:w="110"/>
              <w:bottom w:type="dxa" w:w="60"/>
              <w:right w:type="dxa" w:w="110"/>
            </w:tcMar>
          </w:tcPr>
          <w:p>
            <w:pPr>
              <w:jc w:val="center"/>
            </w:pPr>
            <w:r>
              <w:rPr>
                <w:b w:val="false"/>
                <w:bCs w:val="false"/>
                <w:color w:val="222222"/>
                <w:sz w:val="18"/>
                <w:szCs w:val="18"/>
              </w:rPr>
              <w:t xml:space="preserve">0.807</w:t>
            </w:r>
          </w:p>
        </w:tc>
        <w:tc>
          <w:tcPr>
            <w:tcW w:type="dxa" w:w="1754"/>
            <w:shd w:fill="F5F6F8" w:val="clear"/>
            <w:tcMar>
              <w:top w:type="dxa" w:w="60"/>
              <w:left w:type="dxa" w:w="110"/>
              <w:bottom w:type="dxa" w:w="60"/>
              <w:right w:type="dxa" w:w="110"/>
            </w:tcMar>
          </w:tcPr>
          <w:p>
            <w:pPr>
              <w:jc w:val="center"/>
            </w:pPr>
            <w:r>
              <w:rPr>
                <w:b w:val="false"/>
                <w:bCs w:val="false"/>
                <w:color w:val="222222"/>
                <w:sz w:val="18"/>
                <w:szCs w:val="18"/>
              </w:rPr>
              <w:t xml:space="preserve">0.863</w:t>
            </w:r>
          </w:p>
        </w:tc>
      </w:tr>
    </w:tbl>
    <w:p>
      <w:pPr>
        <w:spacing w:after="60" w:before="160"/>
        <w:jc w:val="center"/>
      </w:pPr>
      <w:r>
        <w:drawing>
          <wp:inline distT="0" distB="0" distL="0" distR="0">
            <wp:extent cx="5943600" cy="2590800"/>
            <wp:effectExtent t="0" r="0" b="0" l="0"/>
            <wp:docPr id="1" name="Figure 5" descr="Tuned classifier performance by era (a) and the rise in hit predictability across decades for the Random Forest (b)."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590800"/>
                    </a:xfrm>
                    <a:prstGeom prst="rect">
                      <a:avLst/>
                    </a:prstGeom>
                  </pic:spPr>
                </pic:pic>
              </a:graphicData>
            </a:graphic>
          </wp:inline>
        </w:drawing>
      </w:r>
    </w:p>
    <w:p>
      <w:pPr>
        <w:spacing w:after="200"/>
        <w:jc w:val="center"/>
      </w:pPr>
      <w:r>
        <w:rPr>
          <w:b/>
          <w:bCs/>
          <w:sz w:val="19"/>
          <w:szCs w:val="19"/>
        </w:rPr>
        <w:t xml:space="preserve">Figure 5. </w:t>
      </w:r>
      <w:r>
        <w:rPr>
          <w:i/>
          <w:iCs/>
          <w:color w:val="555555"/>
          <w:sz w:val="19"/>
          <w:szCs w:val="19"/>
        </w:rPr>
        <w:t xml:space="preserve">Tuned classifier performance by era (a) and the rise in hit predictability across decades for the Random Forest (b).</w:t>
      </w:r>
    </w:p>
    <w:p>
      <w:pPr>
        <w:pStyle w:val="Heading2"/>
      </w:pPr>
      <w:r>
        <w:t xml:space="preserve">5.3 Feature importance by era</w:t>
      </w:r>
    </w:p>
    <w:p>
      <w:pPr>
        <w:spacing w:after="140"/>
      </w:pPr>
      <w:r>
        <w:t xml:space="preserve">Instrumentalness — essentially the absence of vocals — was the single most important predictor in every era, and its importance grew steadily (mean |SHAP| 0.095 → 0.113 → 0.169 from Analog to Streaming; Table 4, Figure 6). The most striking re-ordering is loudness, which climbed from the fifth most important feature in the Analog era to second in the Streaming era. Conversely, speechiness fell sharply (third to eighth) and acousticness drifted down (second to fourth), while danceability peaked in the CD/Digital era.</w:t>
      </w:r>
    </w:p>
    <w:p>
      <w:pPr>
        <w:spacing w:after="120"/>
      </w:pPr>
      <w:r>
        <w:rPr>
          <w:b/>
          <w:bCs/>
          <w:sz w:val="19"/>
          <w:szCs w:val="19"/>
        </w:rPr>
        <w:t xml:space="preserve">Table 4. </w:t>
      </w:r>
      <w:r>
        <w:rPr>
          <w:i/>
          <w:iCs/>
          <w:color w:val="555555"/>
          <w:sz w:val="19"/>
          <w:szCs w:val="19"/>
        </w:rPr>
        <w:t xml:space="preserve">Mean absolute SHAP value (and importance rank) per feature in each era, ordered by Analog-era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shd w:fill="15212B" w:val="clear"/>
            <w:tcMar>
              <w:top w:type="dxa" w:w="70"/>
              <w:left w:type="dxa" w:w="110"/>
              <w:bottom w:type="dxa" w:w="70"/>
              <w:right w:type="dxa" w:w="110"/>
            </w:tcMar>
          </w:tcPr>
          <w:p>
            <w:r>
              <w:rPr>
                <w:b/>
                <w:bCs/>
                <w:color w:val="FFFFFF"/>
                <w:sz w:val="18"/>
                <w:szCs w:val="18"/>
              </w:rPr>
              <w:t xml:space="preserve">Feature</w:t>
            </w:r>
          </w:p>
        </w:tc>
        <w:tc>
          <w:tcPr>
            <w:tcW w:type="dxa" w:w="2400"/>
            <w:shd w:fill="15212B" w:val="clear"/>
            <w:tcMar>
              <w:top w:type="dxa" w:w="70"/>
              <w:left w:type="dxa" w:w="110"/>
              <w:bottom w:type="dxa" w:w="70"/>
              <w:right w:type="dxa" w:w="110"/>
            </w:tcMar>
          </w:tcPr>
          <w:p>
            <w:r>
              <w:rPr>
                <w:b/>
                <w:bCs/>
                <w:color w:val="FFFFFF"/>
                <w:sz w:val="18"/>
                <w:szCs w:val="18"/>
              </w:rPr>
              <w:t xml:space="preserve">Analog (1960–89)</w:t>
            </w:r>
          </w:p>
        </w:tc>
        <w:tc>
          <w:tcPr>
            <w:tcW w:type="dxa" w:w="2400"/>
            <w:shd w:fill="15212B" w:val="clear"/>
            <w:tcMar>
              <w:top w:type="dxa" w:w="70"/>
              <w:left w:type="dxa" w:w="110"/>
              <w:bottom w:type="dxa" w:w="70"/>
              <w:right w:type="dxa" w:w="110"/>
            </w:tcMar>
          </w:tcPr>
          <w:p>
            <w:r>
              <w:rPr>
                <w:b/>
                <w:bCs/>
                <w:color w:val="FFFFFF"/>
                <w:sz w:val="18"/>
                <w:szCs w:val="18"/>
              </w:rPr>
              <w:t xml:space="preserve">CD/Digital (1990–2009)</w:t>
            </w:r>
          </w:p>
        </w:tc>
        <w:tc>
          <w:tcPr>
            <w:tcW w:type="dxa" w:w="2400"/>
            <w:shd w:fill="15212B" w:val="clear"/>
            <w:tcMar>
              <w:top w:type="dxa" w:w="70"/>
              <w:left w:type="dxa" w:w="110"/>
              <w:bottom w:type="dxa" w:w="70"/>
              <w:right w:type="dxa" w:w="110"/>
            </w:tcMar>
          </w:tcPr>
          <w:p>
            <w:r>
              <w:rPr>
                <w:b/>
                <w:bCs/>
                <w:color w:val="FFFFFF"/>
                <w:sz w:val="18"/>
                <w:szCs w:val="18"/>
              </w:rPr>
              <w:t xml:space="preserve">Streaming (2010s)</w:t>
            </w:r>
          </w:p>
        </w:tc>
      </w:tr>
      <w:tr>
        <w:tc>
          <w:tcPr>
            <w:tcW w:type="dxa" w:w="2160"/>
            <w:shd w:fill="F5F6F8" w:val="clear"/>
            <w:tcMar>
              <w:top w:type="dxa" w:w="60"/>
              <w:left w:type="dxa" w:w="110"/>
              <w:bottom w:type="dxa" w:w="60"/>
              <w:right w:type="dxa" w:w="110"/>
            </w:tcMar>
          </w:tcPr>
          <w:p>
            <w:pPr>
              <w:jc w:val="left"/>
            </w:pPr>
            <w:r>
              <w:rPr>
                <w:b/>
                <w:bCs/>
                <w:color w:val="222222"/>
                <w:sz w:val="18"/>
                <w:szCs w:val="18"/>
              </w:rPr>
              <w:t xml:space="preserve">instrumentalness</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0.095  (#1)</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0.113  (#1)</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0.169  (#1)</w:t>
            </w:r>
          </w:p>
        </w:tc>
      </w:tr>
      <w:tr>
        <w:tc>
          <w:tcPr>
            <w:tcW w:type="dxa" w:w="2160"/>
            <w:tcMar>
              <w:top w:type="dxa" w:w="60"/>
              <w:left w:type="dxa" w:w="110"/>
              <w:bottom w:type="dxa" w:w="60"/>
              <w:right w:type="dxa" w:w="110"/>
            </w:tcMar>
          </w:tcPr>
          <w:p>
            <w:pPr>
              <w:jc w:val="left"/>
            </w:pPr>
            <w:r>
              <w:rPr>
                <w:b/>
                <w:bCs/>
                <w:color w:val="222222"/>
                <w:sz w:val="18"/>
                <w:szCs w:val="18"/>
              </w:rPr>
              <w:t xml:space="preserve">acousticness</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0.056  (#2)</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0.065  (#3)</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0.047  (#4)</w:t>
            </w:r>
          </w:p>
        </w:tc>
      </w:tr>
      <w:tr>
        <w:tc>
          <w:tcPr>
            <w:tcW w:type="dxa" w:w="2160"/>
            <w:shd w:fill="F5F6F8" w:val="clear"/>
            <w:tcMar>
              <w:top w:type="dxa" w:w="60"/>
              <w:left w:type="dxa" w:w="110"/>
              <w:bottom w:type="dxa" w:w="60"/>
              <w:right w:type="dxa" w:w="110"/>
            </w:tcMar>
          </w:tcPr>
          <w:p>
            <w:pPr>
              <w:jc w:val="left"/>
            </w:pPr>
            <w:r>
              <w:rPr>
                <w:b/>
                <w:bCs/>
                <w:color w:val="222222"/>
                <w:sz w:val="18"/>
                <w:szCs w:val="18"/>
              </w:rPr>
              <w:t xml:space="preserve">speechiness</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0.051  (#3)</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0.025  (#7)</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0.009  (#8)</w:t>
            </w:r>
          </w:p>
        </w:tc>
      </w:tr>
      <w:tr>
        <w:tc>
          <w:tcPr>
            <w:tcW w:type="dxa" w:w="2160"/>
            <w:tcMar>
              <w:top w:type="dxa" w:w="60"/>
              <w:left w:type="dxa" w:w="110"/>
              <w:bottom w:type="dxa" w:w="60"/>
              <w:right w:type="dxa" w:w="110"/>
            </w:tcMar>
          </w:tcPr>
          <w:p>
            <w:pPr>
              <w:jc w:val="left"/>
            </w:pPr>
            <w:r>
              <w:rPr>
                <w:b w:val="false"/>
                <w:bCs w:val="false"/>
                <w:color w:val="222222"/>
                <w:sz w:val="18"/>
                <w:szCs w:val="18"/>
              </w:rPr>
              <w:t xml:space="preserve">danceability</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0.047  (#4)</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0.090  (#2)</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0.059  (#3)</w:t>
            </w:r>
          </w:p>
        </w:tc>
      </w:tr>
      <w:tr>
        <w:tc>
          <w:tcPr>
            <w:tcW w:type="dxa" w:w="2160"/>
            <w:shd w:fill="F5F6F8" w:val="clear"/>
            <w:tcMar>
              <w:top w:type="dxa" w:w="60"/>
              <w:left w:type="dxa" w:w="110"/>
              <w:bottom w:type="dxa" w:w="60"/>
              <w:right w:type="dxa" w:w="110"/>
            </w:tcMar>
          </w:tcPr>
          <w:p>
            <w:pPr>
              <w:jc w:val="left"/>
            </w:pPr>
            <w:r>
              <w:rPr>
                <w:b w:val="false"/>
                <w:bCs w:val="false"/>
                <w:color w:val="222222"/>
                <w:sz w:val="18"/>
                <w:szCs w:val="18"/>
              </w:rPr>
              <w:t xml:space="preserve">loudness</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0.030  (#5)</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0.038  (#5)</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0.063  (#2)</w:t>
            </w:r>
          </w:p>
        </w:tc>
      </w:tr>
      <w:tr>
        <w:tc>
          <w:tcPr>
            <w:tcW w:type="dxa" w:w="2160"/>
            <w:tcMar>
              <w:top w:type="dxa" w:w="60"/>
              <w:left w:type="dxa" w:w="110"/>
              <w:bottom w:type="dxa" w:w="60"/>
              <w:right w:type="dxa" w:w="110"/>
            </w:tcMar>
          </w:tcPr>
          <w:p>
            <w:pPr>
              <w:jc w:val="left"/>
            </w:pPr>
            <w:r>
              <w:rPr>
                <w:b w:val="false"/>
                <w:bCs w:val="false"/>
                <w:color w:val="222222"/>
                <w:sz w:val="18"/>
                <w:szCs w:val="18"/>
              </w:rPr>
              <w:t xml:space="preserve">energy</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0.029  (#6)</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0.027  (#6)</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0.042  (#5)</w:t>
            </w:r>
          </w:p>
        </w:tc>
      </w:tr>
      <w:tr>
        <w:tc>
          <w:tcPr>
            <w:tcW w:type="dxa" w:w="2160"/>
            <w:shd w:fill="F5F6F8" w:val="clear"/>
            <w:tcMar>
              <w:top w:type="dxa" w:w="60"/>
              <w:left w:type="dxa" w:w="110"/>
              <w:bottom w:type="dxa" w:w="60"/>
              <w:right w:type="dxa" w:w="110"/>
            </w:tcMar>
          </w:tcPr>
          <w:p>
            <w:pPr>
              <w:jc w:val="left"/>
            </w:pPr>
            <w:r>
              <w:rPr>
                <w:b w:val="false"/>
                <w:bCs w:val="false"/>
                <w:color w:val="222222"/>
                <w:sz w:val="18"/>
                <w:szCs w:val="18"/>
              </w:rPr>
              <w:t xml:space="preserve">valence</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0.025  (#7)</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0.015  (#8)</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0.020  (#7)</w:t>
            </w:r>
          </w:p>
        </w:tc>
      </w:tr>
      <w:tr>
        <w:tc>
          <w:tcPr>
            <w:tcW w:type="dxa" w:w="2160"/>
            <w:tcMar>
              <w:top w:type="dxa" w:w="60"/>
              <w:left w:type="dxa" w:w="110"/>
              <w:bottom w:type="dxa" w:w="60"/>
              <w:right w:type="dxa" w:w="110"/>
            </w:tcMar>
          </w:tcPr>
          <w:p>
            <w:pPr>
              <w:jc w:val="left"/>
            </w:pPr>
            <w:r>
              <w:rPr>
                <w:b w:val="false"/>
                <w:bCs w:val="false"/>
                <w:color w:val="222222"/>
                <w:sz w:val="18"/>
                <w:szCs w:val="18"/>
              </w:rPr>
              <w:t xml:space="preserve">duration_ms</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0.019  (#8)</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0.065  (#4)</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0.031  (#6)</w:t>
            </w:r>
          </w:p>
        </w:tc>
      </w:tr>
      <w:tr>
        <w:tc>
          <w:tcPr>
            <w:tcW w:type="dxa" w:w="2160"/>
            <w:shd w:fill="F5F6F8" w:val="clear"/>
            <w:tcMar>
              <w:top w:type="dxa" w:w="60"/>
              <w:left w:type="dxa" w:w="110"/>
              <w:bottom w:type="dxa" w:w="60"/>
              <w:right w:type="dxa" w:w="110"/>
            </w:tcMar>
          </w:tcPr>
          <w:p>
            <w:pPr>
              <w:jc w:val="left"/>
            </w:pPr>
            <w:r>
              <w:rPr>
                <w:b w:val="false"/>
                <w:bCs w:val="false"/>
                <w:color w:val="222222"/>
                <w:sz w:val="18"/>
                <w:szCs w:val="18"/>
              </w:rPr>
              <w:t xml:space="preserve">mode</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0.018  (#9)</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0.004  (#12)</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0.001  (#15)</w:t>
            </w:r>
          </w:p>
        </w:tc>
      </w:tr>
      <w:tr>
        <w:tc>
          <w:tcPr>
            <w:tcW w:type="dxa" w:w="2160"/>
            <w:tcMar>
              <w:top w:type="dxa" w:w="60"/>
              <w:left w:type="dxa" w:w="110"/>
              <w:bottom w:type="dxa" w:w="60"/>
              <w:right w:type="dxa" w:w="110"/>
            </w:tcMar>
          </w:tcPr>
          <w:p>
            <w:pPr>
              <w:jc w:val="left"/>
            </w:pPr>
            <w:r>
              <w:rPr>
                <w:b w:val="false"/>
                <w:bCs w:val="false"/>
                <w:color w:val="222222"/>
                <w:sz w:val="18"/>
                <w:szCs w:val="18"/>
              </w:rPr>
              <w:t xml:space="preserve">sections</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0.012  (#10)</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0.013  (#9)</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0.007  (#9)</w:t>
            </w:r>
          </w:p>
        </w:tc>
      </w:tr>
      <w:tr>
        <w:tc>
          <w:tcPr>
            <w:tcW w:type="dxa" w:w="2160"/>
            <w:shd w:fill="F5F6F8" w:val="clear"/>
            <w:tcMar>
              <w:top w:type="dxa" w:w="60"/>
              <w:left w:type="dxa" w:w="110"/>
              <w:bottom w:type="dxa" w:w="60"/>
              <w:right w:type="dxa" w:w="110"/>
            </w:tcMar>
          </w:tcPr>
          <w:p>
            <w:pPr>
              <w:jc w:val="left"/>
            </w:pPr>
            <w:r>
              <w:rPr>
                <w:b w:val="false"/>
                <w:bCs w:val="false"/>
                <w:color w:val="222222"/>
                <w:sz w:val="18"/>
                <w:szCs w:val="18"/>
              </w:rPr>
              <w:t xml:space="preserve">tempo</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0.011  (#11)</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0.008  (#11)</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0.006  (#10)</w:t>
            </w:r>
          </w:p>
        </w:tc>
      </w:tr>
      <w:tr>
        <w:tc>
          <w:tcPr>
            <w:tcW w:type="dxa" w:w="2160"/>
            <w:tcMar>
              <w:top w:type="dxa" w:w="60"/>
              <w:left w:type="dxa" w:w="110"/>
              <w:bottom w:type="dxa" w:w="60"/>
              <w:right w:type="dxa" w:w="110"/>
            </w:tcMar>
          </w:tcPr>
          <w:p>
            <w:pPr>
              <w:jc w:val="left"/>
            </w:pPr>
            <w:r>
              <w:rPr>
                <w:b w:val="false"/>
                <w:bCs w:val="false"/>
                <w:color w:val="222222"/>
                <w:sz w:val="18"/>
                <w:szCs w:val="18"/>
              </w:rPr>
              <w:t xml:space="preserve">liveness</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0.009  (#12)</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0.008  (#10)</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0.006  (#11)</w:t>
            </w:r>
          </w:p>
        </w:tc>
      </w:tr>
      <w:tr>
        <w:tc>
          <w:tcPr>
            <w:tcW w:type="dxa" w:w="2160"/>
            <w:shd w:fill="F5F6F8" w:val="clear"/>
            <w:tcMar>
              <w:top w:type="dxa" w:w="60"/>
              <w:left w:type="dxa" w:w="110"/>
              <w:bottom w:type="dxa" w:w="60"/>
              <w:right w:type="dxa" w:w="110"/>
            </w:tcMar>
          </w:tcPr>
          <w:p>
            <w:pPr>
              <w:jc w:val="left"/>
            </w:pPr>
            <w:r>
              <w:rPr>
                <w:b w:val="false"/>
                <w:bCs w:val="false"/>
                <w:color w:val="222222"/>
                <w:sz w:val="18"/>
                <w:szCs w:val="18"/>
              </w:rPr>
              <w:t xml:space="preserve">time_signature</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0.004  (#13)</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0.002  (#15)</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0.004  (#13)</w:t>
            </w:r>
          </w:p>
        </w:tc>
      </w:tr>
      <w:tr>
        <w:tc>
          <w:tcPr>
            <w:tcW w:type="dxa" w:w="2160"/>
            <w:tcMar>
              <w:top w:type="dxa" w:w="60"/>
              <w:left w:type="dxa" w:w="110"/>
              <w:bottom w:type="dxa" w:w="60"/>
              <w:right w:type="dxa" w:w="110"/>
            </w:tcMar>
          </w:tcPr>
          <w:p>
            <w:pPr>
              <w:jc w:val="left"/>
            </w:pPr>
            <w:r>
              <w:rPr>
                <w:b w:val="false"/>
                <w:bCs w:val="false"/>
                <w:color w:val="222222"/>
                <w:sz w:val="18"/>
                <w:szCs w:val="18"/>
              </w:rPr>
              <w:t xml:space="preserve">chorus_hit</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0.003  (#14)</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0.004  (#13)</w:t>
            </w:r>
          </w:p>
        </w:tc>
        <w:tc>
          <w:tcPr>
            <w:tcW w:type="dxa" w:w="2400"/>
            <w:tcMar>
              <w:top w:type="dxa" w:w="60"/>
              <w:left w:type="dxa" w:w="110"/>
              <w:bottom w:type="dxa" w:w="60"/>
              <w:right w:type="dxa" w:w="110"/>
            </w:tcMar>
          </w:tcPr>
          <w:p>
            <w:pPr>
              <w:jc w:val="center"/>
            </w:pPr>
            <w:r>
              <w:rPr>
                <w:b w:val="false"/>
                <w:bCs w:val="false"/>
                <w:color w:val="222222"/>
                <w:sz w:val="18"/>
                <w:szCs w:val="18"/>
              </w:rPr>
              <w:t xml:space="preserve">0.004  (#12)</w:t>
            </w:r>
          </w:p>
        </w:tc>
      </w:tr>
      <w:tr>
        <w:tc>
          <w:tcPr>
            <w:tcW w:type="dxa" w:w="2160"/>
            <w:shd w:fill="F5F6F8" w:val="clear"/>
            <w:tcMar>
              <w:top w:type="dxa" w:w="60"/>
              <w:left w:type="dxa" w:w="110"/>
              <w:bottom w:type="dxa" w:w="60"/>
              <w:right w:type="dxa" w:w="110"/>
            </w:tcMar>
          </w:tcPr>
          <w:p>
            <w:pPr>
              <w:jc w:val="left"/>
            </w:pPr>
            <w:r>
              <w:rPr>
                <w:b w:val="false"/>
                <w:bCs w:val="false"/>
                <w:color w:val="222222"/>
                <w:sz w:val="18"/>
                <w:szCs w:val="18"/>
              </w:rPr>
              <w:t xml:space="preserve">key</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0.003  (#15)</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0.003  (#14)</w:t>
            </w:r>
          </w:p>
        </w:tc>
        <w:tc>
          <w:tcPr>
            <w:tcW w:type="dxa" w:w="2400"/>
            <w:shd w:fill="F5F6F8" w:val="clear"/>
            <w:tcMar>
              <w:top w:type="dxa" w:w="60"/>
              <w:left w:type="dxa" w:w="110"/>
              <w:bottom w:type="dxa" w:w="60"/>
              <w:right w:type="dxa" w:w="110"/>
            </w:tcMar>
          </w:tcPr>
          <w:p>
            <w:pPr>
              <w:jc w:val="center"/>
            </w:pPr>
            <w:r>
              <w:rPr>
                <w:b w:val="false"/>
                <w:bCs w:val="false"/>
                <w:color w:val="222222"/>
                <w:sz w:val="18"/>
                <w:szCs w:val="18"/>
              </w:rPr>
              <w:t xml:space="preserve">0.003  (#14)</w:t>
            </w:r>
          </w:p>
        </w:tc>
      </w:tr>
    </w:tbl>
    <w:p>
      <w:pPr>
        <w:spacing w:after="60" w:before="160"/>
        <w:jc w:val="center"/>
      </w:pPr>
      <w:r>
        <w:drawing>
          <wp:inline distT="0" distB="0" distL="0" distR="0">
            <wp:extent cx="4267200" cy="3381375"/>
            <wp:effectExtent t="0" r="0" b="0" l="0"/>
            <wp:docPr id="1" name="Figure 6" descr="Feature importance (mean |SHAP|) by era. Darker cells mark stronger influence on the hit predicti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67200" cy="3381375"/>
                    </a:xfrm>
                    <a:prstGeom prst="rect">
                      <a:avLst/>
                    </a:prstGeom>
                  </pic:spPr>
                </pic:pic>
              </a:graphicData>
            </a:graphic>
          </wp:inline>
        </w:drawing>
      </w:r>
    </w:p>
    <w:p>
      <w:pPr>
        <w:spacing w:after="200"/>
        <w:jc w:val="center"/>
      </w:pPr>
      <w:r>
        <w:rPr>
          <w:b/>
          <w:bCs/>
          <w:sz w:val="19"/>
          <w:szCs w:val="19"/>
        </w:rPr>
        <w:t xml:space="preserve">Figure 6. </w:t>
      </w:r>
      <w:r>
        <w:rPr>
          <w:i/>
          <w:iCs/>
          <w:color w:val="555555"/>
          <w:sz w:val="19"/>
          <w:szCs w:val="19"/>
        </w:rPr>
        <w:t xml:space="preserve">Feature importance (mean |SHAP|) by era. Darker cells mark stronger influence on the hit prediction.</w:t>
      </w:r>
    </w:p>
    <w:p>
      <w:pPr>
        <w:pStyle w:val="Heading2"/>
      </w:pPr>
      <w:r>
        <w:t xml:space="preserve">5.4 Trend across decades</w:t>
      </w:r>
    </w:p>
    <w:p>
      <w:pPr>
        <w:spacing w:after="140"/>
      </w:pPr>
      <w:r>
        <w:t xml:space="preserve">The decade-level view (Figure 7) shows these shifts as smooth trajectories rather than abrupt jumps: instrumentalness rises throughout and accelerates after the 1990s; loudness climbs steadily from the 1990s onward; while danceability and song-duration importance peak around the 1990s and then recede.</w:t>
      </w:r>
    </w:p>
    <w:p>
      <w:pPr>
        <w:spacing w:after="60" w:before="160"/>
        <w:jc w:val="center"/>
      </w:pPr>
      <w:r>
        <w:drawing>
          <wp:inline distT="0" distB="0" distL="0" distR="0">
            <wp:extent cx="5829300" cy="4076700"/>
            <wp:effectExtent t="0" r="0" b="0" l="0"/>
            <wp:docPr id="1" name="Figure 7" descr="How feature importance (mean |SHAP|) shifts across the six decades, shaded by era."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29300" cy="4076700"/>
                    </a:xfrm>
                    <a:prstGeom prst="rect">
                      <a:avLst/>
                    </a:prstGeom>
                  </pic:spPr>
                </pic:pic>
              </a:graphicData>
            </a:graphic>
          </wp:inline>
        </w:drawing>
      </w:r>
    </w:p>
    <w:p>
      <w:pPr>
        <w:spacing w:after="200"/>
        <w:jc w:val="center"/>
      </w:pPr>
      <w:r>
        <w:rPr>
          <w:b/>
          <w:bCs/>
          <w:sz w:val="19"/>
          <w:szCs w:val="19"/>
        </w:rPr>
        <w:t xml:space="preserve">Figure 7. </w:t>
      </w:r>
      <w:r>
        <w:rPr>
          <w:i/>
          <w:iCs/>
          <w:color w:val="555555"/>
          <w:sz w:val="19"/>
          <w:szCs w:val="19"/>
        </w:rPr>
        <w:t xml:space="preserve">How feature importance (mean |SHAP|) shifts across the six decades, shaded by era.</w:t>
      </w:r>
    </w:p>
    <w:p>
      <w:pPr>
        <w:pStyle w:val="Heading2"/>
      </w:pPr>
      <w:r>
        <w:t xml:space="preserve">5.5 Direction of effect</w:t>
      </w:r>
    </w:p>
    <w:p>
      <w:pPr>
        <w:spacing w:after="140"/>
      </w:pPr>
      <w:r>
        <w:t xml:space="preserve">Standardised logistic-regression coefficients (Figure 8) make the direction explicit and show it intensifying over time: high instrumentalness pushes strongly toward flop (coefficient −0.82 in the Analog era, deepening to −2.49 in the Streaming era), while high loudness increasingly pushes toward hit (+0.28 → +1.95). In short, the modern hit is reliably vocal-forward and loud. The SHAP beeswarm plots in the accompanying interactive dashboard confirm this at the level of individual tracks.</w:t>
      </w:r>
    </w:p>
    <w:p>
      <w:pPr>
        <w:spacing w:after="60" w:before="160"/>
        <w:jc w:val="center"/>
      </w:pPr>
      <w:r>
        <w:drawing>
          <wp:inline distT="0" distB="0" distL="0" distR="0">
            <wp:extent cx="4343400" cy="3562350"/>
            <wp:effectExtent t="0" r="0" b="0" l="0"/>
            <wp:docPr id="1" name="Figure 8" descr="Direction of effect by era (standardised logistic-regression coefficients). Blue pushes toward hit, red toward flop."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43400" cy="3562350"/>
                    </a:xfrm>
                    <a:prstGeom prst="rect">
                      <a:avLst/>
                    </a:prstGeom>
                  </pic:spPr>
                </pic:pic>
              </a:graphicData>
            </a:graphic>
          </wp:inline>
        </w:drawing>
      </w:r>
    </w:p>
    <w:p>
      <w:pPr>
        <w:spacing w:after="200"/>
        <w:jc w:val="center"/>
      </w:pPr>
      <w:r>
        <w:rPr>
          <w:b/>
          <w:bCs/>
          <w:sz w:val="19"/>
          <w:szCs w:val="19"/>
        </w:rPr>
        <w:t xml:space="preserve">Figure 8. </w:t>
      </w:r>
      <w:r>
        <w:rPr>
          <w:i/>
          <w:iCs/>
          <w:color w:val="555555"/>
          <w:sz w:val="19"/>
          <w:szCs w:val="19"/>
        </w:rPr>
        <w:t xml:space="preserve">Direction of effect by era (standardised logistic-regression coefficients). Blue pushes toward hit, red toward flop.</w:t>
      </w:r>
    </w:p>
    <w:p>
      <w:pPr>
        <w:pStyle w:val="Heading1"/>
      </w:pPr>
      <w:r>
        <w:t xml:space="preserve">6. Discussion</w:t>
      </w:r>
    </w:p>
    <w:p>
      <w:pPr>
        <w:spacing w:after="140"/>
      </w:pPr>
      <w:r>
        <w:t xml:space="preserve">The results tell a coherent story that maps onto known shifts in music production and distribution, and the model-based importances echo the raw class differences seen in the EDA. The growing importance and steepening penalty of instrumentalness reflect an increasingly vocal-centric, song-over-composition pop market. The sharp rise of loudness is consistent with the well-documented “loudness war” and streaming-era mastering practices. The decline of acousticness and speechiness, together with the mid-period prominence of danceability, aligns with the rise of electronic, dance-oriented production through the 1990s and 2000s. Finally, the overall increase in predictability suggests that the audio signature of a commercial hit has become more standardised: the features Spotify measures separate hits from flops more cleanly in the streaming era than they did in the 1960s.</w:t>
      </w:r>
    </w:p>
    <w:p>
      <w:pPr>
        <w:pStyle w:val="Heading1"/>
      </w:pPr>
      <w:r>
        <w:t xml:space="preserve">7. Limitations</w:t>
      </w:r>
    </w:p>
    <w:p>
      <w:pPr>
        <w:pStyle w:val="ListParagraph"/>
        <w:numPr>
          <w:ilvl w:val="0"/>
          <w:numId w:val="2"/>
        </w:numPr>
        <w:spacing w:after="80"/>
      </w:pPr>
      <w:r>
        <w:rPr>
          <w:b/>
          <w:bCs/>
        </w:rPr>
        <w:t xml:space="preserve">Balanced sampling.</w:t>
      </w:r>
      <w:r>
        <w:t xml:space="preserve"> The dataset is 50/50 hit/flop by construction, so reported accuracies do not reflect real-world base rates; ROC-AUC and the relative feature comparisons are the more meaningful outputs.</w:t>
      </w:r>
    </w:p>
    <w:p>
      <w:pPr>
        <w:pStyle w:val="ListParagraph"/>
        <w:numPr>
          <w:ilvl w:val="0"/>
          <w:numId w:val="2"/>
        </w:numPr>
        <w:spacing w:after="80"/>
      </w:pPr>
      <w:r>
        <w:rPr>
          <w:b/>
          <w:bCs/>
        </w:rPr>
        <w:t xml:space="preserve">Era as a decade proxy.</w:t>
      </w:r>
      <w:r>
        <w:t xml:space="preserve"> Precise release years are not provided, so era boundaries follow the decade files rather than externally dated industry events.</w:t>
      </w:r>
    </w:p>
    <w:p>
      <w:pPr>
        <w:pStyle w:val="ListParagraph"/>
        <w:numPr>
          <w:ilvl w:val="0"/>
          <w:numId w:val="2"/>
        </w:numPr>
        <w:spacing w:after="80"/>
      </w:pPr>
      <w:r>
        <w:rPr>
          <w:b/>
          <w:bCs/>
        </w:rPr>
        <w:t xml:space="preserve">Tuning scope.</w:t>
      </w:r>
      <w:r>
        <w:t xml:space="preserve"> Grid search used compact, sensible ranges with 3-fold cross-validation; wider searches or nested CV could refine the settings further, though the model ranking is unlikely to change.</w:t>
      </w:r>
    </w:p>
    <w:p>
      <w:pPr>
        <w:pStyle w:val="ListParagraph"/>
        <w:numPr>
          <w:ilvl w:val="0"/>
          <w:numId w:val="2"/>
        </w:numPr>
        <w:spacing w:after="80"/>
      </w:pPr>
      <w:r>
        <w:rPr>
          <w:b/>
          <w:bCs/>
        </w:rPr>
        <w:t xml:space="preserve">Encoding of key.</w:t>
      </w:r>
      <w:r>
        <w:t xml:space="preserve"> Musical key was treated as an ordinal numeric rather than one-hot encoded — a minor simplification given its consistently low importance.</w:t>
      </w:r>
    </w:p>
    <w:p>
      <w:pPr>
        <w:pStyle w:val="ListParagraph"/>
        <w:numPr>
          <w:ilvl w:val="0"/>
          <w:numId w:val="2"/>
        </w:numPr>
        <w:spacing w:after="80"/>
      </w:pPr>
      <w:r>
        <w:rPr>
          <w:b/>
          <w:bCs/>
        </w:rPr>
        <w:t xml:space="preserve">Association, not causation.</w:t>
      </w:r>
      <w:r>
        <w:t xml:space="preserve"> SHAP describes feature influence within the model, not causal effects; both the definition of a “hit” and Spotify's feature extraction may vary across eras.</w:t>
      </w:r>
    </w:p>
    <w:p>
      <w:pPr>
        <w:pStyle w:val="Heading1"/>
      </w:pPr>
      <w:r>
        <w:t xml:space="preserve">8. Conclusion</w:t>
      </w:r>
    </w:p>
    <w:p>
      <w:pPr>
        <w:spacing w:after="140"/>
      </w:pPr>
      <w:r>
        <w:t xml:space="preserve">With hyperparameters selected by grid search, a Random Forest predicts Billboard chart success from Spotify audio features well, and consistently better than Logistic Regression or KNN, reaching ROC-AUC ≈ 0.92 in the modern era. More importantly, the drivers of success are not static: vocal presence (instrumentalness) and loudness have become steadily more decisive into the streaming era, while speechiness and acousticness have faded. Modelling each era separately and comparing SHAP importance turns a routine classifier benchmark into evidence about how the sound of a hit has changed across six decades.</w:t>
      </w:r>
    </w:p>
    <w:p>
      <w:pPr>
        <w:pStyle w:val="Heading1"/>
      </w:pPr>
      <w:r>
        <w:t xml:space="preserve">References</w:t>
      </w:r>
    </w:p>
    <w:p>
      <w:pPr>
        <w:spacing w:after="120"/>
      </w:pPr>
      <w:r>
        <w:t xml:space="preserve">Georgieva, E., Śuta, M., &amp; Burton, N. (2018). </w:t>
      </w:r>
      <w:r>
        <w:rPr>
          <w:i/>
          <w:iCs/>
        </w:rPr>
        <w:t xml:space="preserve">HitPredict: Predicting Billboard Hits Using Spotify Data</w:t>
      </w:r>
      <w:r>
        <w:t xml:space="preserve">. Stanford CS229. </w:t>
      </w:r>
    </w:p>
    <w:p>
      <w:pPr>
        <w:spacing w:after="120"/>
      </w:pPr>
      <w:r>
        <w:t xml:space="preserve">IFPI. (2025). </w:t>
      </w:r>
      <w:r>
        <w:rPr>
          <w:i/>
          <w:iCs/>
        </w:rPr>
        <w:t xml:space="preserve">Global Music Report 2025</w:t>
      </w:r>
      <w:r>
        <w:t xml:space="preserve">: global recorded music revenues grew 4.8% in 2024. </w:t>
      </w:r>
      <w:hyperlink w:history="1" r:id="rId-zcl6uzop_kfxmihkxq6y">
        <w:r>
          <w:rPr>
            <w:rStyle w:val="Hyperlink"/>
          </w:rPr>
          <w:t xml:space="preserve">ifpi.org</w:t>
        </w:r>
      </w:hyperlink>
    </w:p>
    <w:p>
      <w:pPr>
        <w:spacing w:after="120"/>
      </w:pPr>
      <w:r>
        <w:t xml:space="preserve">Putra, &amp; Rahayu (2023). </w:t>
      </w:r>
      <w:r>
        <w:rPr>
          <w:i/>
          <w:iCs/>
        </w:rPr>
        <w:t xml:space="preserve">Predicting song popularity based on Spotify's audio features: insights from the Indonesian streaming users</w:t>
      </w:r>
      <w:r>
        <w:t xml:space="preserve">. Journal of Management Analytics. </w:t>
      </w:r>
      <w:hyperlink w:history="1" r:id="rIdrkro_h-01efbbacenfbor">
        <w:r>
          <w:rPr>
            <w:rStyle w:val="Hyperlink"/>
          </w:rPr>
          <w:t xml:space="preserve">tandfonline.com</w:t>
        </w:r>
      </w:hyperlink>
    </w:p>
    <w:p>
      <w:pPr>
        <w:spacing w:after="120"/>
      </w:pPr>
      <w:r>
        <w:t xml:space="preserve">SpotHitPy (2023). </w:t>
      </w:r>
      <w:r>
        <w:rPr>
          <w:i/>
          <w:iCs/>
        </w:rPr>
        <w:t xml:space="preserve">A Study For ML-Based Song Hit Prediction Using Spotify</w:t>
      </w:r>
      <w:r>
        <w:t xml:space="preserve">. arXiv:2301.07978. </w:t>
      </w:r>
      <w:hyperlink w:history="1" r:id="rId1irmlbbiww2qbbg4y9dob">
        <w:r>
          <w:rPr>
            <w:rStyle w:val="Hyperlink"/>
          </w:rPr>
          <w:t xml:space="preserve">arxiv.org/abs/2301.07978</w:t>
        </w:r>
      </w:hyperlink>
    </w:p>
    <w:p>
      <w:pPr>
        <w:spacing w:after="120"/>
      </w:pPr>
      <w:r>
        <w:t xml:space="preserve">Yang et al. (2023). </w:t>
      </w:r>
      <w:r>
        <w:rPr>
          <w:i/>
          <w:iCs/>
        </w:rPr>
        <w:t xml:space="preserve">An Analysis of Classification Approaches for Hit Song Prediction using Engineered Metadata Features with Lyrics and Audio Features</w:t>
      </w:r>
      <w:r>
        <w:t xml:space="preserve">. arXiv:2301.13507. </w:t>
      </w:r>
      <w:hyperlink w:history="1" r:id="rIdsvsl6spn3s4mhmrjm0oeg">
        <w:r>
          <w:rPr>
            <w:rStyle w:val="Hyperlink"/>
          </w:rPr>
          <w:t xml:space="preserve">arxiv.org/abs/2301.13507</w:t>
        </w:r>
      </w:hyperlink>
    </w:p>
    <w:p>
      <w:pPr>
        <w:spacing w:after="120"/>
      </w:pPr>
      <w:r>
        <w:t xml:space="preserve">theoverman. </w:t>
      </w:r>
      <w:r>
        <w:rPr>
          <w:i/>
          <w:iCs/>
        </w:rPr>
        <w:t xml:space="preserve">The Spotify Hit Predictor Dataset (1960–2019)</w:t>
      </w:r>
      <w:r>
        <w:t xml:space="preserve">. Kaggle. </w:t>
      </w:r>
      <w:hyperlink w:history="1" r:id="rIdxqughxxfhaoclfm9jjkzb">
        <w:r>
          <w:rPr>
            <w:rStyle w:val="Hyperlink"/>
          </w:rPr>
          <w:t xml:space="preserve">kaggle.com</w:t>
        </w:r>
      </w:hyperlink>
    </w:p>
    <w:p>
      <w:pPr>
        <w:spacing w:before="200"/>
      </w:pPr>
      <w:r>
        <w:rPr>
          <w:i/>
          <w:iCs/>
          <w:color w:val="888888"/>
          <w:sz w:val="17"/>
          <w:szCs w:val="17"/>
        </w:rPr>
        <w:t xml:space="preserve">Note: author lists for the cited prediction studies are abbreviated; verify exact author details against the linked sources before final submission.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Spotify Hit Predictor — cross-era analysis (tuned)   ·   </w:t>
    </w: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5212B"/>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D6A4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cl6uzop_kfxmihkxq6y" Type="http://schemas.openxmlformats.org/officeDocument/2006/relationships/hyperlink" Target="https://www.ifpi.org/ifpi-amidst-highly-competitive-market-global-recorded-music-revenues-grew-4-8-in-2024/" TargetMode="External"/><Relationship Id="rIdrkro_h-01efbbacenfbor" Type="http://schemas.openxmlformats.org/officeDocument/2006/relationships/hyperlink" Target="https://www.tandfonline.com/doi/full/10.1080/23270012.2023.2239824" TargetMode="External"/><Relationship Id="rId1irmlbbiww2qbbg4y9dob" Type="http://schemas.openxmlformats.org/officeDocument/2006/relationships/hyperlink" Target="https://arxiv.org/abs/2301.07978" TargetMode="External"/><Relationship Id="rIdsvsl6spn3s4mhmrjm0oeg" Type="http://schemas.openxmlformats.org/officeDocument/2006/relationships/hyperlink" Target="https://arxiv.org/abs/2301.13507" TargetMode="External"/><Relationship Id="rIdxqughxxfhaoclfm9jjkzb" Type="http://schemas.openxmlformats.org/officeDocument/2006/relationships/hyperlink" Target="https://www.kaggle.com/datasets/theoverman/the-spotify-hit-predictor-dataset" TargetMode="External"/><Relationship Id="rId8" Type="http://schemas.openxmlformats.org/officeDocument/2006/relationships/image" Target="media/51ce4d7f29bf2f46a987e216a4022cce2b175cb9.png"/><Relationship Id="rId9" Type="http://schemas.openxmlformats.org/officeDocument/2006/relationships/image" Target="media/ba24ab89890c719577cfa5795f53178a822f9164.png"/><Relationship Id="rId10" Type="http://schemas.openxmlformats.org/officeDocument/2006/relationships/image" Target="media/a818154bbe9b756ce3c31f7adf5adcd1ff787668.png"/><Relationship Id="rId11" Type="http://schemas.openxmlformats.org/officeDocument/2006/relationships/image" Target="media/dabf37d3a5fd00735fbec80ee380fd6966db6638.png"/><Relationship Id="rId12" Type="http://schemas.openxmlformats.org/officeDocument/2006/relationships/image" Target="media/25293e4d408d1b7726c2ae2d1d7c3e146f3f9600.png"/><Relationship Id="rId13" Type="http://schemas.openxmlformats.org/officeDocument/2006/relationships/image" Target="media/c33bc9b801780fd346be4fef1a5c78902104b621.png"/><Relationship Id="rId14" Type="http://schemas.openxmlformats.org/officeDocument/2006/relationships/image" Target="media/54b048f4aeb6e42d5052c06555eb4f20037f345f.png"/><Relationship Id="rId15" Type="http://schemas.openxmlformats.org/officeDocument/2006/relationships/image" Target="media/e42b3c9ddd8316d78dae280cb07ddb30d0182e1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2026-06-20T11:45:07.002Z</dcterms:created>
  <dcterms:modified xsi:type="dcterms:W3CDTF">2026-06-20T11:45:07.007Z</dcterms:modified>
</cp:coreProperties>
</file>

<file path=docProps/custom.xml><?xml version="1.0" encoding="utf-8"?>
<Properties xmlns="http://schemas.openxmlformats.org/officeDocument/2006/custom-properties" xmlns:vt="http://schemas.openxmlformats.org/officeDocument/2006/docPropsVTypes"/>
</file>