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200" w:after="0"/>
        <w:rPr/>
      </w:pPr>
    </w:p>
    <w:p>
      <w:pPr>
        <w:pStyle w:val="style0"/>
        <w:spacing w:before="0" w:after="120"/>
        <w:jc w:val="center"/>
        <w:rPr/>
      </w:pPr>
      <w:r>
        <w:rPr>
          <w:rFonts w:ascii="Arial" w:cs="Arial" w:eastAsia="Arial" w:hAnsi="Arial"/>
          <w:b/>
          <w:bCs/>
          <w:color w:val="1e5631"/>
          <w:sz w:val="80"/>
          <w:szCs w:val="80"/>
        </w:rPr>
        <w:t>EcoTrack AI</w:t>
      </w:r>
    </w:p>
    <w:p>
      <w:pPr>
        <w:pStyle w:val="style0"/>
        <w:spacing w:before="0" w:after="80"/>
        <w:jc w:val="center"/>
        <w:rPr/>
      </w:pPr>
      <w:r>
        <w:rPr>
          <w:rFonts w:ascii="Arial" w:cs="Arial" w:eastAsia="Arial" w:hAnsi="Arial"/>
          <w:b/>
          <w:bCs/>
          <w:color w:val="2e7d82"/>
          <w:sz w:val="36"/>
          <w:szCs w:val="36"/>
        </w:rPr>
        <w:t>Insights &amp; Recommendations Report</w:t>
      </w:r>
    </w:p>
    <w:p>
      <w:pPr>
        <w:pStyle w:val="style0"/>
        <w:spacing w:before="0" w:after="600"/>
        <w:jc w:val="center"/>
        <w:rPr/>
      </w:pPr>
      <w:r>
        <w:rPr>
          <w:rFonts w:ascii="Arial" w:cs="Arial" w:eastAsia="Arial" w:hAnsi="Arial"/>
          <w:i/>
          <w:iCs/>
          <w:color w:val="6b7280"/>
          <w:sz w:val="22"/>
          <w:szCs w:val="22"/>
        </w:rPr>
        <w:t>Environmental Waste Hotspot Analysis  |  1,000 Urban Nigerian Communities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3600"/>
      </w:tblGrid>
      <w:tr>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Analyst</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Felicia</w:t>
            </w:r>
          </w:p>
        </w:tc>
      </w:tr>
      <w:tr>
        <w:tblPrEx/>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Document Type</w:t>
            </w:r>
          </w:p>
        </w:tc>
        <w:tc>
          <w:tcPr>
            <w:tcW w:w="36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Analyst Report</w:t>
            </w:r>
          </w:p>
        </w:tc>
      </w:tr>
      <w:tr>
        <w:tblPrEx/>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Audience</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Technical Reviewers &amp; Government/NGO Stakeholders</w:t>
            </w:r>
          </w:p>
        </w:tc>
      </w:tr>
      <w:tr>
        <w:tblPrEx/>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Dataset</w:t>
            </w:r>
          </w:p>
        </w:tc>
        <w:tc>
          <w:tcPr>
            <w:tcW w:w="36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1,000 Urban Nigerian Communities | 12 States</w:t>
            </w:r>
          </w:p>
        </w:tc>
      </w:tr>
      <w:tr>
        <w:tblPrEx/>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Period</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202</w:t>
            </w:r>
            <w:r>
              <w:rPr>
                <w:rFonts w:ascii="Arial" w:cs="Arial" w:eastAsia="Arial" w:hAnsi="Arial"/>
                <w:b w:val="false"/>
                <w:bCs w:val="false"/>
                <w:color w:val="1a1a1a"/>
                <w:sz w:val="20"/>
                <w:szCs w:val="20"/>
                <w:lang w:val="en-US"/>
              </w:rPr>
              <w:t>2</w:t>
            </w:r>
            <w:r>
              <w:rPr>
                <w:rFonts w:ascii="Arial" w:cs="Arial" w:eastAsia="Arial" w:hAnsi="Arial"/>
                <w:b w:val="false"/>
                <w:bCs w:val="false"/>
                <w:color w:val="1a1a1a"/>
                <w:sz w:val="20"/>
                <w:szCs w:val="20"/>
              </w:rPr>
              <w:t xml:space="preserve"> - 2024</w:t>
            </w:r>
          </w:p>
        </w:tc>
      </w:tr>
    </w:tbl>
    <w:p>
      <w:pPr>
        <w:pStyle w:val="style0"/>
        <w:rPr/>
      </w:pPr>
      <w:r>
        <w:br w:type="page"/>
      </w:r>
    </w:p>
    <w:p>
      <w:pPr>
        <w:pStyle w:val="style4097"/>
        <w:shd w:val="clear" w:color="auto" w:fill="1e5631"/>
        <w:spacing w:before="400" w:after="200"/>
        <w:ind w:left="200" w:right="200"/>
        <w:rPr/>
      </w:pPr>
      <w:r>
        <w:rPr>
          <w:rFonts w:ascii="Arial" w:cs="Arial" w:eastAsia="Arial" w:hAnsi="Arial"/>
          <w:b/>
          <w:bCs/>
          <w:color w:val="ffffff"/>
          <w:sz w:val="36"/>
          <w:szCs w:val="36"/>
        </w:rPr>
        <w:t>Executive Summary</w:t>
      </w:r>
    </w:p>
    <w:p>
      <w:pPr>
        <w:pStyle w:val="style0"/>
        <w:spacing w:before="60" w:after="60"/>
        <w:rPr/>
      </w:pPr>
    </w:p>
    <w:p>
      <w:pPr>
        <w:pStyle w:val="style0"/>
        <w:spacing w:before="80" w:after="160"/>
        <w:rPr/>
      </w:pPr>
      <w:r>
        <w:rPr>
          <w:rFonts w:ascii="Arial" w:cs="Arial" w:eastAsia="Arial" w:hAnsi="Arial"/>
          <w:i/>
          <w:iCs/>
          <w:color w:val="6b7280"/>
          <w:sz w:val="24"/>
          <w:szCs w:val="24"/>
        </w:rPr>
        <w:t>Nigeria's urban waste management system is failing in predictable, measurable ways. This report identifies where, why, and what to do about it.</w:t>
      </w:r>
    </w:p>
    <w:p>
      <w:pPr>
        <w:pStyle w:val="style0"/>
        <w:spacing w:before="80" w:after="100"/>
        <w:rPr/>
      </w:pPr>
      <w:r>
        <w:rPr>
          <w:rFonts w:ascii="Arial" w:cs="Arial" w:eastAsia="Arial" w:hAnsi="Arial"/>
          <w:color w:val="1a1a1a"/>
          <w:sz w:val="22"/>
          <w:szCs w:val="22"/>
        </w:rPr>
        <w:t>This analysis covers 1,000 urban communities across 12 Nigerian states. Using a weighted risk scoring model built on four environmental indicators — illegal dumping, blocked drainage, flood incidents, and environmental complaints — we identify which communities are in crisis, which are heading there, and where targeted investment will have the greatest impact.</w:t>
      </w:r>
    </w:p>
    <w:p>
      <w:pPr>
        <w:pStyle w:val="style0"/>
        <w:spacing w:before="60" w:after="60"/>
        <w:rPr/>
      </w:pPr>
    </w:p>
    <w:p>
      <w:pPr>
        <w:pStyle w:val="style0"/>
        <w:spacing w:before="80" w:after="100"/>
        <w:rPr/>
      </w:pPr>
      <w:r>
        <w:rPr>
          <w:rFonts w:ascii="Arial" w:cs="Arial" w:eastAsia="Arial" w:hAnsi="Arial"/>
          <w:color w:val="1a1a1a"/>
          <w:sz w:val="22"/>
          <w:szCs w:val="22"/>
        </w:rPr>
        <w:t>The headline finding is straightforward: the waste management crisis in Nigeria is not evenly distributed. It is concentrated in specific states, driven by specific structural failures, and entirely addressable through targeted policy action.</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rPr/>
        <w:tc>
          <w:tcPr>
            <w:tcW w:w="2340" w:type="dxa"/>
            <w:tcBorders>
              <w:top w:val="single" w:sz="1" w:space="0" w:color="e0e0e0"/>
              <w:left w:val="single" w:sz="1" w:space="0" w:color="e0e0e0"/>
              <w:bottom w:val="single" w:sz="1" w:space="0" w:color="e0e0e0"/>
              <w:right w:val="single" w:sz="1" w:space="0" w:color="e0e0e0"/>
            </w:tcBorders>
            <w:shd w:val="clear" w:color="auto" w:fill="f4f6f4"/>
            <w:tcMar>
              <w:top w:w="140" w:type="dxa"/>
              <w:left w:w="180" w:type="dxa"/>
              <w:bottom w:w="140" w:type="dxa"/>
              <w:right w:w="180" w:type="dxa"/>
            </w:tcMar>
          </w:tcPr>
          <w:p>
            <w:pPr>
              <w:pStyle w:val="style0"/>
              <w:jc w:val="center"/>
              <w:rPr/>
            </w:pPr>
            <w:r>
              <w:rPr>
                <w:rFonts w:ascii="Arial" w:cs="Arial" w:eastAsia="Arial" w:hAnsi="Arial"/>
                <w:b/>
                <w:bCs/>
                <w:color w:val="c0392b"/>
                <w:sz w:val="48"/>
                <w:szCs w:val="48"/>
              </w:rPr>
              <w:t>1</w:t>
            </w:r>
            <w:r>
              <w:rPr>
                <w:rFonts w:ascii="Arial" w:cs="Arial" w:eastAsia="Arial" w:hAnsi="Arial"/>
                <w:b/>
                <w:bCs/>
                <w:color w:val="c0392b"/>
                <w:sz w:val="48"/>
                <w:szCs w:val="48"/>
                <w:lang w:val="en-US"/>
              </w:rPr>
              <w:t>49</w:t>
            </w:r>
          </w:p>
          <w:p>
            <w:pPr>
              <w:pStyle w:val="style0"/>
              <w:jc w:val="center"/>
              <w:rPr/>
            </w:pPr>
            <w:r>
              <w:rPr>
                <w:rFonts w:ascii="Arial" w:cs="Arial" w:eastAsia="Arial" w:hAnsi="Arial"/>
                <w:color w:val="6b7280"/>
                <w:sz w:val="18"/>
                <w:szCs w:val="18"/>
              </w:rPr>
              <w:t>Critical Communities</w:t>
            </w:r>
          </w:p>
        </w:tc>
        <w:tc>
          <w:tcPr>
            <w:tcW w:w="2340" w:type="dxa"/>
            <w:tcBorders>
              <w:top w:val="single" w:sz="1" w:space="0" w:color="e0e0e0"/>
              <w:left w:val="single" w:sz="1" w:space="0" w:color="e0e0e0"/>
              <w:bottom w:val="single" w:sz="1" w:space="0" w:color="e0e0e0"/>
              <w:right w:val="single" w:sz="1" w:space="0" w:color="e0e0e0"/>
            </w:tcBorders>
            <w:shd w:val="clear" w:color="auto" w:fill="f4f6f4"/>
            <w:tcMar>
              <w:top w:w="140" w:type="dxa"/>
              <w:left w:w="180" w:type="dxa"/>
              <w:bottom w:w="140" w:type="dxa"/>
              <w:right w:w="180" w:type="dxa"/>
            </w:tcMar>
          </w:tcPr>
          <w:p>
            <w:pPr>
              <w:pStyle w:val="style0"/>
              <w:jc w:val="center"/>
              <w:rPr/>
            </w:pPr>
            <w:r>
              <w:rPr>
                <w:rFonts w:ascii="Arial" w:cs="Arial" w:eastAsia="Arial" w:hAnsi="Arial"/>
                <w:b/>
                <w:bCs/>
                <w:color w:val="d47c0a"/>
                <w:sz w:val="48"/>
                <w:szCs w:val="48"/>
              </w:rPr>
              <w:t>75.2%</w:t>
            </w:r>
          </w:p>
          <w:p>
            <w:pPr>
              <w:pStyle w:val="style0"/>
              <w:jc w:val="center"/>
              <w:rPr/>
            </w:pPr>
            <w:r>
              <w:rPr>
                <w:rFonts w:ascii="Arial" w:cs="Arial" w:eastAsia="Arial" w:hAnsi="Arial"/>
                <w:color w:val="6b7280"/>
                <w:sz w:val="18"/>
                <w:szCs w:val="18"/>
              </w:rPr>
              <w:t>Active Hotspot Rate</w:t>
            </w:r>
          </w:p>
        </w:tc>
        <w:tc>
          <w:tcPr>
            <w:tcW w:w="2340" w:type="dxa"/>
            <w:tcBorders>
              <w:top w:val="single" w:sz="1" w:space="0" w:color="e0e0e0"/>
              <w:left w:val="single" w:sz="1" w:space="0" w:color="e0e0e0"/>
              <w:bottom w:val="single" w:sz="1" w:space="0" w:color="e0e0e0"/>
              <w:right w:val="single" w:sz="1" w:space="0" w:color="e0e0e0"/>
            </w:tcBorders>
            <w:shd w:val="clear" w:color="auto" w:fill="f4f6f4"/>
            <w:tcMar>
              <w:top w:w="140" w:type="dxa"/>
              <w:left w:w="180" w:type="dxa"/>
              <w:bottom w:w="140" w:type="dxa"/>
              <w:right w:w="180" w:type="dxa"/>
            </w:tcMar>
          </w:tcPr>
          <w:p>
            <w:pPr>
              <w:pStyle w:val="style0"/>
              <w:jc w:val="center"/>
              <w:rPr/>
            </w:pPr>
            <w:r>
              <w:rPr>
                <w:rFonts w:ascii="Arial" w:cs="Arial" w:eastAsia="Arial" w:hAnsi="Arial"/>
                <w:b/>
                <w:bCs/>
                <w:color w:val="d47c0a"/>
                <w:sz w:val="48"/>
                <w:szCs w:val="48"/>
              </w:rPr>
              <w:t>136</w:t>
            </w:r>
          </w:p>
          <w:p>
            <w:pPr>
              <w:pStyle w:val="style0"/>
              <w:jc w:val="center"/>
              <w:rPr/>
            </w:pPr>
            <w:r>
              <w:rPr>
                <w:rFonts w:ascii="Arial" w:cs="Arial" w:eastAsia="Arial" w:hAnsi="Arial"/>
                <w:color w:val="6b7280"/>
                <w:sz w:val="18"/>
                <w:szCs w:val="18"/>
              </w:rPr>
              <w:t>Structural Dumping Zones</w:t>
            </w:r>
          </w:p>
        </w:tc>
        <w:tc>
          <w:tcPr>
            <w:tcW w:w="2340" w:type="dxa"/>
            <w:tcBorders>
              <w:top w:val="single" w:sz="1" w:space="0" w:color="e0e0e0"/>
              <w:left w:val="single" w:sz="1" w:space="0" w:color="e0e0e0"/>
              <w:bottom w:val="single" w:sz="1" w:space="0" w:color="e0e0e0"/>
              <w:right w:val="single" w:sz="1" w:space="0" w:color="e0e0e0"/>
            </w:tcBorders>
            <w:shd w:val="clear" w:color="auto" w:fill="f4f6f4"/>
            <w:tcMar>
              <w:top w:w="140" w:type="dxa"/>
              <w:left w:w="180" w:type="dxa"/>
              <w:bottom w:w="140" w:type="dxa"/>
              <w:right w:w="180" w:type="dxa"/>
            </w:tcMar>
          </w:tcPr>
          <w:p>
            <w:pPr>
              <w:pStyle w:val="style0"/>
              <w:jc w:val="center"/>
              <w:rPr/>
            </w:pPr>
            <w:r>
              <w:rPr>
                <w:rFonts w:ascii="Arial" w:cs="Arial" w:eastAsia="Arial" w:hAnsi="Arial"/>
                <w:b/>
                <w:bCs/>
                <w:color w:val="b5a300"/>
                <w:sz w:val="48"/>
                <w:szCs w:val="48"/>
              </w:rPr>
              <w:t>106</w:t>
            </w:r>
          </w:p>
          <w:p>
            <w:pPr>
              <w:pStyle w:val="style0"/>
              <w:jc w:val="center"/>
              <w:rPr/>
            </w:pPr>
            <w:r>
              <w:rPr>
                <w:rFonts w:ascii="Arial" w:cs="Arial" w:eastAsia="Arial" w:hAnsi="Arial"/>
                <w:color w:val="6b7280"/>
                <w:sz w:val="18"/>
                <w:szCs w:val="18"/>
              </w:rPr>
              <w:t>Underserved High-Risk Communities</w:t>
            </w:r>
          </w:p>
        </w:tc>
      </w:tr>
    </w:tbl>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
        <w:gridCol w:w="8960"/>
      </w:tblGrid>
      <w:tr>
        <w:trPr/>
        <w:tc>
          <w:tcPr>
            <w:tcW w:w="400" w:type="dxa"/>
            <w:tcBorders>
              <w:top w:val="none" w:sz="0" w:space="0" w:color="ffffff"/>
              <w:left w:val="none" w:sz="0" w:space="0" w:color="ffffff"/>
              <w:bottom w:val="none" w:sz="0" w:space="0" w:color="ffffff"/>
              <w:right w:val="none" w:sz="0" w:space="0" w:color="ffffff"/>
            </w:tcBorders>
            <w:shd w:val="clear" w:color="auto" w:fill="2e7d32"/>
            <w:tcMar>
              <w:top w:w="140" w:type="dxa"/>
              <w:left w:w="140" w:type="dxa"/>
              <w:bottom w:w="140" w:type="dxa"/>
              <w:right w:w="0" w:type="dxa"/>
            </w:tcMar>
          </w:tcPr>
          <w:p>
            <w:pPr>
              <w:pStyle w:val="style0"/>
              <w:rPr/>
            </w:pPr>
          </w:p>
        </w:tc>
        <w:tc>
          <w:tcPr>
            <w:tcW w:w="8960" w:type="dxa"/>
            <w:tcBorders>
              <w:top w:val="none" w:sz="0" w:space="0" w:color="ffffff"/>
              <w:left w:val="none" w:sz="0" w:space="0" w:color="ffffff"/>
              <w:bottom w:val="none" w:sz="0" w:space="0" w:color="ffffff"/>
              <w:right w:val="none" w:sz="0" w:space="0" w:color="ffffff"/>
            </w:tcBorders>
            <w:shd w:val="clear" w:color="auto" w:fill="eaf4eb"/>
            <w:tcMar>
              <w:top w:w="120" w:type="dxa"/>
              <w:left w:w="180" w:type="dxa"/>
              <w:bottom w:w="120" w:type="dxa"/>
              <w:right w:w="180" w:type="dxa"/>
            </w:tcMar>
          </w:tcPr>
          <w:p>
            <w:pPr>
              <w:pStyle w:val="style0"/>
              <w:rPr/>
            </w:pPr>
            <w:r>
              <w:rPr>
                <w:rFonts w:ascii="Arial" w:cs="Arial" w:eastAsia="Arial" w:hAnsi="Arial"/>
                <w:b/>
                <w:bCs/>
                <w:color w:val="2e7d32"/>
                <w:sz w:val="20"/>
                <w:szCs w:val="20"/>
              </w:rPr>
              <w:t>The Central Finding</w:t>
            </w:r>
          </w:p>
          <w:p>
            <w:pPr>
              <w:pStyle w:val="style0"/>
              <w:spacing w:before="60"/>
              <w:rPr/>
            </w:pPr>
            <w:r>
              <w:rPr>
                <w:rFonts w:ascii="Arial" w:cs="Arial" w:eastAsia="Arial" w:hAnsi="Arial"/>
                <w:color w:val="1a1a1a"/>
                <w:sz w:val="22"/>
                <w:szCs w:val="22"/>
              </w:rPr>
              <w:t>This is not a behaviour problem. It is an infrastructure problem. Communities are not dumping illegally because they lack awareness — they are dumping illegally because the formal waste system is inaccessible, infrequent, or simply absent. Fix the infrastructure and the behaviour follows.</w:t>
            </w:r>
          </w:p>
        </w:tc>
      </w:tr>
    </w:tbl>
    <w:p>
      <w:pPr>
        <w:pStyle w:val="style0"/>
        <w:spacing w:before="60" w:after="60"/>
        <w:rPr/>
      </w:pPr>
    </w:p>
    <w:p>
      <w:pPr>
        <w:pStyle w:val="style0"/>
        <w:rPr/>
      </w:pPr>
      <w:r>
        <w:br w:type="page"/>
      </w:r>
    </w:p>
    <w:p>
      <w:pPr>
        <w:pStyle w:val="style4097"/>
        <w:shd w:val="clear" w:color="auto" w:fill="1e5631"/>
        <w:spacing w:before="400" w:after="200"/>
        <w:ind w:left="200" w:right="200"/>
        <w:rPr/>
      </w:pPr>
      <w:r>
        <w:rPr>
          <w:rFonts w:ascii="Arial" w:cs="Arial" w:eastAsia="Arial" w:hAnsi="Arial"/>
          <w:b/>
          <w:bCs/>
          <w:color w:val="ffffff"/>
          <w:sz w:val="36"/>
          <w:szCs w:val="36"/>
        </w:rPr>
        <w:t>1. Waste Generation Patterns</w:t>
      </w:r>
    </w:p>
    <w:p>
      <w:pPr>
        <w:pStyle w:val="style0"/>
        <w:spacing w:before="60" w:after="60"/>
        <w:rPr/>
      </w:pPr>
    </w:p>
    <w:p>
      <w:pPr>
        <w:pStyle w:val="style0"/>
        <w:spacing w:before="80" w:after="160"/>
        <w:rPr/>
      </w:pPr>
      <w:r>
        <w:rPr>
          <w:rFonts w:ascii="Arial" w:cs="Arial" w:eastAsia="Arial" w:hAnsi="Arial"/>
          <w:i/>
          <w:iCs/>
          <w:color w:val="6b7280"/>
          <w:sz w:val="24"/>
          <w:szCs w:val="24"/>
        </w:rPr>
        <w:t>The system is generating more waste than it can collect. The gap is widest in the communities least equipped to handle it.</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What the data shows</w:t>
      </w:r>
    </w:p>
    <w:p>
      <w:pPr>
        <w:pStyle w:val="style0"/>
        <w:spacing w:before="80" w:after="100"/>
        <w:rPr/>
      </w:pPr>
      <w:r>
        <w:rPr>
          <w:rFonts w:ascii="Arial" w:cs="Arial" w:eastAsia="Arial" w:hAnsi="Arial"/>
          <w:color w:val="1a1a1a"/>
          <w:sz w:val="22"/>
          <w:szCs w:val="22"/>
        </w:rPr>
        <w:t>Total monthly waste across all 1,000 communities is approximately 13,109 metric tons. That is a significant volume — but the number itself is not the problem. The problem is how unevenly it is being managed.</w:t>
      </w:r>
    </w:p>
    <w:p>
      <w:pPr>
        <w:pStyle w:val="style0"/>
        <w:spacing w:before="60" w:after="60"/>
        <w:rPr/>
      </w:pPr>
    </w:p>
    <w:p>
      <w:pPr>
        <w:pStyle w:val="style0"/>
        <w:spacing w:before="80" w:after="100"/>
        <w:rPr/>
      </w:pPr>
      <w:r>
        <w:rPr>
          <w:rFonts w:ascii="Arial" w:cs="Arial" w:eastAsia="Arial" w:hAnsi="Arial"/>
          <w:color w:val="1a1a1a"/>
          <w:sz w:val="22"/>
          <w:szCs w:val="22"/>
        </w:rPr>
        <w:t>FCT and Lagos generate the most waste per community at 22.7 and 19.3 tons per month respectively, well above the dataset mean of 14.1 tons. Yet these two states have among the lowest risk scores in the dataset. They generate more and manage it better — because they have the infrastructure to do so.</w:t>
      </w:r>
    </w:p>
    <w:p>
      <w:pPr>
        <w:pStyle w:val="style0"/>
        <w:spacing w:before="60" w:after="60"/>
        <w:rPr/>
      </w:pPr>
    </w:p>
    <w:p>
      <w:pPr>
        <w:pStyle w:val="style0"/>
        <w:spacing w:before="80" w:after="100"/>
        <w:rPr/>
      </w:pPr>
      <w:r>
        <w:rPr>
          <w:rFonts w:ascii="Arial" w:cs="Arial" w:eastAsia="Arial" w:hAnsi="Arial"/>
          <w:color w:val="1a1a1a"/>
          <w:sz w:val="22"/>
          <w:szCs w:val="22"/>
        </w:rPr>
        <w:t>The more important pattern is this: 78.2% of all communities — 782 out of 1,000 — receive waste collection only once per week. Here is what that looks like by collection frequency:</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2680"/>
        <w:gridCol w:w="3880"/>
      </w:tblGrid>
      <w:tr>
        <w:trPr>
          <w:tblHeader/>
        </w:trPr>
        <w:tc>
          <w:tcPr>
            <w:tcW w:w="28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Collection Frequency</w:t>
            </w:r>
          </w:p>
        </w:tc>
        <w:tc>
          <w:tcPr>
            <w:tcW w:w="268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Communities</w:t>
            </w:r>
          </w:p>
        </w:tc>
        <w:tc>
          <w:tcPr>
            <w:tcW w:w="388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Avg Monthly Waste (tons)</w:t>
            </w:r>
          </w:p>
        </w:tc>
      </w:tr>
      <w:tr>
        <w:tblPrEx/>
        <w:trPr>
          <w:tblHeader w:val="false"/>
        </w:trPr>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1x per week</w:t>
            </w:r>
          </w:p>
        </w:tc>
        <w:tc>
          <w:tcPr>
            <w:tcW w:w="2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782 (78.2%)</w:t>
            </w:r>
          </w:p>
        </w:tc>
        <w:tc>
          <w:tcPr>
            <w:tcW w:w="38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13.3</w:t>
            </w:r>
          </w:p>
        </w:tc>
      </w:tr>
      <w:tr>
        <w:tblPrEx/>
        <w:trPr>
          <w:tblHeader w:val="false"/>
        </w:trPr>
        <w:tc>
          <w:tcPr>
            <w:tcW w:w="28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2x per week</w:t>
            </w:r>
          </w:p>
        </w:tc>
        <w:tc>
          <w:tcPr>
            <w:tcW w:w="2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195 (19.5%)</w:t>
            </w:r>
          </w:p>
        </w:tc>
        <w:tc>
          <w:tcPr>
            <w:tcW w:w="38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16.1</w:t>
            </w:r>
          </w:p>
        </w:tc>
      </w:tr>
      <w:tr>
        <w:tblPrEx/>
        <w:trPr>
          <w:tblHeader w:val="false"/>
        </w:trPr>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3x per week</w:t>
            </w:r>
          </w:p>
        </w:tc>
        <w:tc>
          <w:tcPr>
            <w:tcW w:w="2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21 (2.1%)</w:t>
            </w:r>
          </w:p>
        </w:tc>
        <w:tc>
          <w:tcPr>
            <w:tcW w:w="38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23.3</w:t>
            </w:r>
          </w:p>
        </w:tc>
      </w:tr>
      <w:tr>
        <w:tblPrEx/>
        <w:trPr>
          <w:tblHeader w:val="false"/>
        </w:trPr>
        <w:tc>
          <w:tcPr>
            <w:tcW w:w="28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4x per week</w:t>
            </w:r>
          </w:p>
        </w:tc>
        <w:tc>
          <w:tcPr>
            <w:tcW w:w="2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 (0.2%)</w:t>
            </w:r>
          </w:p>
        </w:tc>
        <w:tc>
          <w:tcPr>
            <w:tcW w:w="38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26.2</w:t>
            </w:r>
          </w:p>
        </w:tc>
      </w:tr>
    </w:tbl>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What this means</w:t>
      </w:r>
    </w:p>
    <w:p>
      <w:pPr>
        <w:pStyle w:val="style0"/>
        <w:spacing w:before="80" w:after="100"/>
        <w:rPr/>
      </w:pPr>
      <w:r>
        <w:rPr>
          <w:rFonts w:ascii="Arial" w:cs="Arial" w:eastAsia="Arial" w:hAnsi="Arial"/>
          <w:color w:val="1a1a1a"/>
          <w:sz w:val="22"/>
          <w:szCs w:val="22"/>
        </w:rPr>
        <w:t>Higher-frequency communities generate more waste, but they have the collection capacity to handle it. The critical mismatch is in the 782 communities generating 13+ tons monthly but only getting one collection per week. Waste accumulates between collections. When it accumulates long enough, it ends up in drains, open lots, and roadsides — which is exactly what the illegal dumping data confirms.</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
        <w:gridCol w:w="8960"/>
      </w:tblGrid>
      <w:tr>
        <w:trPr/>
        <w:tc>
          <w:tcPr>
            <w:tcW w:w="400" w:type="dxa"/>
            <w:tcBorders>
              <w:top w:val="none" w:sz="0" w:space="0" w:color="ffffff"/>
              <w:left w:val="none" w:sz="0" w:space="0" w:color="ffffff"/>
              <w:bottom w:val="none" w:sz="0" w:space="0" w:color="ffffff"/>
              <w:right w:val="none" w:sz="0" w:space="0" w:color="ffffff"/>
            </w:tcBorders>
            <w:shd w:val="clear" w:color="auto" w:fill="2e7d82"/>
            <w:tcMar>
              <w:top w:w="140" w:type="dxa"/>
              <w:left w:w="140" w:type="dxa"/>
              <w:bottom w:w="140" w:type="dxa"/>
              <w:right w:w="0" w:type="dxa"/>
            </w:tcMar>
          </w:tcPr>
          <w:p>
            <w:pPr>
              <w:pStyle w:val="style0"/>
              <w:rPr/>
            </w:pPr>
          </w:p>
        </w:tc>
        <w:tc>
          <w:tcPr>
            <w:tcW w:w="8960" w:type="dxa"/>
            <w:tcBorders>
              <w:top w:val="none" w:sz="0" w:space="0" w:color="ffffff"/>
              <w:left w:val="none" w:sz="0" w:space="0" w:color="ffffff"/>
              <w:bottom w:val="none" w:sz="0" w:space="0" w:color="ffffff"/>
              <w:right w:val="none" w:sz="0" w:space="0" w:color="ffffff"/>
            </w:tcBorders>
            <w:shd w:val="clear" w:color="auto" w:fill="e8f4fd"/>
            <w:tcMar>
              <w:top w:w="120" w:type="dxa"/>
              <w:left w:w="180" w:type="dxa"/>
              <w:bottom w:w="120" w:type="dxa"/>
              <w:right w:w="180" w:type="dxa"/>
            </w:tcMar>
          </w:tcPr>
          <w:p>
            <w:pPr>
              <w:pStyle w:val="style0"/>
              <w:rPr/>
            </w:pPr>
            <w:r>
              <w:rPr>
                <w:rFonts w:ascii="Arial" w:cs="Arial" w:eastAsia="Arial" w:hAnsi="Arial"/>
                <w:b/>
                <w:bCs/>
                <w:color w:val="2e7d82"/>
                <w:sz w:val="20"/>
                <w:szCs w:val="20"/>
              </w:rPr>
              <w:t>Key Insight</w:t>
            </w:r>
          </w:p>
          <w:p>
            <w:pPr>
              <w:pStyle w:val="style0"/>
              <w:spacing w:before="60"/>
              <w:rPr/>
            </w:pPr>
            <w:r>
              <w:rPr>
                <w:rFonts w:ascii="Arial" w:cs="Arial" w:eastAsia="Arial" w:hAnsi="Arial"/>
                <w:color w:val="1a1a1a"/>
                <w:sz w:val="22"/>
                <w:szCs w:val="22"/>
              </w:rPr>
              <w:t>Waste generation volume is not the core problem. The gap between generation rate and collection frequency is. Communities generating 15+ tons per month on a once-per-week collection schedule are structurally set up to fail.</w:t>
            </w:r>
          </w:p>
        </w:tc>
      </w:tr>
    </w:tbl>
    <w:p>
      <w:pPr>
        <w:pStyle w:val="style0"/>
        <w:spacing w:before="60" w:after="60"/>
        <w:rPr/>
      </w:pPr>
    </w:p>
    <w:p>
      <w:pPr>
        <w:pStyle w:val="style0"/>
        <w:rPr/>
      </w:pPr>
      <w:r>
        <w:br w:type="page"/>
      </w:r>
    </w:p>
    <w:p>
      <w:pPr>
        <w:pStyle w:val="style4097"/>
        <w:shd w:val="clear" w:color="auto" w:fill="1e5631"/>
        <w:spacing w:before="400" w:after="200"/>
        <w:ind w:left="200" w:right="200"/>
        <w:rPr/>
      </w:pPr>
      <w:r>
        <w:rPr>
          <w:rFonts w:ascii="Arial" w:cs="Arial" w:eastAsia="Arial" w:hAnsi="Arial"/>
          <w:b/>
          <w:bCs/>
          <w:color w:val="ffffff"/>
          <w:sz w:val="36"/>
          <w:szCs w:val="36"/>
        </w:rPr>
        <w:t>2. Illegal Dumping Hotspots</w:t>
      </w:r>
    </w:p>
    <w:p>
      <w:pPr>
        <w:pStyle w:val="style0"/>
        <w:spacing w:before="60" w:after="60"/>
        <w:rPr/>
      </w:pPr>
    </w:p>
    <w:p>
      <w:pPr>
        <w:pStyle w:val="style0"/>
        <w:spacing w:before="80" w:after="160"/>
        <w:rPr/>
      </w:pPr>
      <w:r>
        <w:rPr>
          <w:rFonts w:ascii="Arial" w:cs="Arial" w:eastAsia="Arial" w:hAnsi="Arial"/>
          <w:i/>
          <w:iCs/>
          <w:color w:val="6b7280"/>
          <w:sz w:val="24"/>
          <w:szCs w:val="24"/>
        </w:rPr>
        <w:t>752 communities are active dumping hotspots. But not all hotspots are equal — and the cause matters for the solution.</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Where dumping is concentrated</w:t>
      </w:r>
    </w:p>
    <w:p>
      <w:pPr>
        <w:pStyle w:val="style0"/>
        <w:spacing w:before="80" w:after="100"/>
        <w:rPr/>
      </w:pPr>
      <w:r>
        <w:rPr>
          <w:rFonts w:ascii="Arial" w:cs="Arial" w:eastAsia="Arial" w:hAnsi="Arial"/>
          <w:color w:val="1a1a1a"/>
          <w:sz w:val="22"/>
          <w:szCs w:val="22"/>
        </w:rPr>
        <w:t>Borno carries the highest average dumping intensity per community at 18.3 reports, followed by Bauchi at 17.0 and Kaduna at 16.6. FCT and Lagos — despite generating the most waste — average only 10.5 and 11.3 reports respectively. The North-South infrastructure divide explains this gap more than any other variable.</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80"/>
        <w:gridCol w:w="2480"/>
        <w:gridCol w:w="2000"/>
      </w:tblGrid>
      <w:tr>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State</w:t>
            </w:r>
          </w:p>
        </w:tc>
        <w:tc>
          <w:tcPr>
            <w:tcW w:w="248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Avg Dumping Reports</w:t>
            </w:r>
          </w:p>
        </w:tc>
        <w:tc>
          <w:tcPr>
            <w:tcW w:w="248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Hotspot Communities</w:t>
            </w:r>
          </w:p>
        </w:tc>
        <w:tc>
          <w:tcPr>
            <w:tcW w:w="20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Avg Risk Score</w:t>
            </w:r>
          </w:p>
        </w:tc>
      </w:tr>
      <w:tr>
        <w:tblPrEx/>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Borno</w:t>
            </w:r>
          </w:p>
        </w:tc>
        <w:tc>
          <w:tcPr>
            <w:tcW w:w="24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18.3</w:t>
            </w:r>
          </w:p>
        </w:tc>
        <w:tc>
          <w:tcPr>
            <w:tcW w:w="24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High</w:t>
            </w:r>
          </w:p>
        </w:tc>
        <w:tc>
          <w:tcPr>
            <w:tcW w:w="2000" w:type="dxa"/>
            <w:tcBorders>
              <w:top w:val="single" w:sz="1" w:space="0" w:color="e0e0e0"/>
              <w:left w:val="single" w:sz="1" w:space="0" w:color="e0e0e0"/>
              <w:bottom w:val="single" w:sz="1" w:space="0" w:color="e0e0e0"/>
              <w:right w:val="single" w:sz="1" w:space="0" w:color="e0e0e0"/>
            </w:tcBorders>
            <w:shd w:val="clear" w:color="auto" w:fill="fdecea"/>
            <w:tcMar>
              <w:top w:w="80" w:type="dxa"/>
              <w:left w:w="140" w:type="dxa"/>
              <w:bottom w:w="80" w:type="dxa"/>
              <w:right w:w="140" w:type="dxa"/>
            </w:tcMar>
          </w:tcPr>
          <w:p>
            <w:pPr>
              <w:pStyle w:val="style0"/>
              <w:rPr/>
            </w:pPr>
            <w:r>
              <w:rPr>
                <w:rFonts w:ascii="Arial" w:cs="Arial" w:eastAsia="Arial" w:hAnsi="Arial"/>
                <w:b w:val="false"/>
                <w:bCs w:val="false"/>
                <w:color w:val="c0392b"/>
                <w:sz w:val="20"/>
                <w:szCs w:val="20"/>
              </w:rPr>
              <w:t>0.73</w:t>
            </w:r>
          </w:p>
        </w:tc>
      </w:tr>
      <w:tr>
        <w:tblPrEx/>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Bauchi</w:t>
            </w:r>
          </w:p>
        </w:tc>
        <w:tc>
          <w:tcPr>
            <w:tcW w:w="24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17.0</w:t>
            </w:r>
          </w:p>
        </w:tc>
        <w:tc>
          <w:tcPr>
            <w:tcW w:w="24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High</w:t>
            </w:r>
          </w:p>
        </w:tc>
        <w:tc>
          <w:tcPr>
            <w:tcW w:w="2000" w:type="dxa"/>
            <w:tcBorders>
              <w:top w:val="single" w:sz="1" w:space="0" w:color="e0e0e0"/>
              <w:left w:val="single" w:sz="1" w:space="0" w:color="e0e0e0"/>
              <w:bottom w:val="single" w:sz="1" w:space="0" w:color="e0e0e0"/>
              <w:right w:val="single" w:sz="1" w:space="0" w:color="e0e0e0"/>
            </w:tcBorders>
            <w:shd w:val="clear" w:color="auto" w:fill="fef3e2"/>
            <w:tcMar>
              <w:top w:w="80" w:type="dxa"/>
              <w:left w:w="140" w:type="dxa"/>
              <w:bottom w:w="80" w:type="dxa"/>
              <w:right w:w="140" w:type="dxa"/>
            </w:tcMar>
          </w:tcPr>
          <w:p>
            <w:pPr>
              <w:pStyle w:val="style0"/>
              <w:rPr/>
            </w:pPr>
            <w:r>
              <w:rPr>
                <w:rFonts w:ascii="Arial" w:cs="Arial" w:eastAsia="Arial" w:hAnsi="Arial"/>
                <w:b w:val="false"/>
                <w:bCs w:val="false"/>
                <w:color w:val="d47c0a"/>
                <w:sz w:val="20"/>
                <w:szCs w:val="20"/>
              </w:rPr>
              <w:t>0.68</w:t>
            </w:r>
          </w:p>
        </w:tc>
      </w:tr>
      <w:tr>
        <w:tblPrEx/>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Kaduna</w:t>
            </w:r>
          </w:p>
        </w:tc>
        <w:tc>
          <w:tcPr>
            <w:tcW w:w="24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16.6</w:t>
            </w:r>
          </w:p>
        </w:tc>
        <w:tc>
          <w:tcPr>
            <w:tcW w:w="24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High</w:t>
            </w:r>
          </w:p>
        </w:tc>
        <w:tc>
          <w:tcPr>
            <w:tcW w:w="2000" w:type="dxa"/>
            <w:tcBorders>
              <w:top w:val="single" w:sz="1" w:space="0" w:color="e0e0e0"/>
              <w:left w:val="single" w:sz="1" w:space="0" w:color="e0e0e0"/>
              <w:bottom w:val="single" w:sz="1" w:space="0" w:color="e0e0e0"/>
              <w:right w:val="single" w:sz="1" w:space="0" w:color="e0e0e0"/>
            </w:tcBorders>
            <w:shd w:val="clear" w:color="auto" w:fill="fef3e2"/>
            <w:tcMar>
              <w:top w:w="80" w:type="dxa"/>
              <w:left w:w="140" w:type="dxa"/>
              <w:bottom w:w="80" w:type="dxa"/>
              <w:right w:w="140" w:type="dxa"/>
            </w:tcMar>
          </w:tcPr>
          <w:p>
            <w:pPr>
              <w:pStyle w:val="style0"/>
              <w:rPr/>
            </w:pPr>
            <w:r>
              <w:rPr>
                <w:rFonts w:ascii="Arial" w:cs="Arial" w:eastAsia="Arial" w:hAnsi="Arial"/>
                <w:b w:val="false"/>
                <w:bCs w:val="false"/>
                <w:color w:val="d47c0a"/>
                <w:sz w:val="20"/>
                <w:szCs w:val="20"/>
              </w:rPr>
              <w:t>0.65</w:t>
            </w:r>
          </w:p>
        </w:tc>
      </w:tr>
      <w:tr>
        <w:tblPrEx/>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Lagos</w:t>
            </w:r>
          </w:p>
        </w:tc>
        <w:tc>
          <w:tcPr>
            <w:tcW w:w="24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11.3</w:t>
            </w:r>
          </w:p>
        </w:tc>
        <w:tc>
          <w:tcPr>
            <w:tcW w:w="24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Medium</w:t>
            </w:r>
          </w:p>
        </w:tc>
        <w:tc>
          <w:tcPr>
            <w:tcW w:w="2000" w:type="dxa"/>
            <w:tcBorders>
              <w:top w:val="single" w:sz="1" w:space="0" w:color="e0e0e0"/>
              <w:left w:val="single" w:sz="1" w:space="0" w:color="e0e0e0"/>
              <w:bottom w:val="single" w:sz="1" w:space="0" w:color="e0e0e0"/>
              <w:right w:val="single" w:sz="1" w:space="0" w:color="e0e0e0"/>
            </w:tcBorders>
            <w:shd w:val="clear" w:color="auto" w:fill="eaf4eb"/>
            <w:tcMar>
              <w:top w:w="80" w:type="dxa"/>
              <w:left w:w="140" w:type="dxa"/>
              <w:bottom w:w="80" w:type="dxa"/>
              <w:right w:w="140" w:type="dxa"/>
            </w:tcMar>
          </w:tcPr>
          <w:p>
            <w:pPr>
              <w:pStyle w:val="style0"/>
              <w:rPr/>
            </w:pPr>
            <w:r>
              <w:rPr>
                <w:rFonts w:ascii="Arial" w:cs="Arial" w:eastAsia="Arial" w:hAnsi="Arial"/>
                <w:b w:val="false"/>
                <w:bCs w:val="false"/>
                <w:color w:val="2e7d32"/>
                <w:sz w:val="20"/>
                <w:szCs w:val="20"/>
              </w:rPr>
              <w:t>0.33</w:t>
            </w:r>
          </w:p>
        </w:tc>
      </w:tr>
      <w:tr>
        <w:tblPrEx/>
        <w:trPr>
          <w:tblHeader w:val="false"/>
        </w:trPr>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FCT</w:t>
            </w:r>
          </w:p>
        </w:tc>
        <w:tc>
          <w:tcPr>
            <w:tcW w:w="24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10.5</w:t>
            </w:r>
          </w:p>
        </w:tc>
        <w:tc>
          <w:tcPr>
            <w:tcW w:w="24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Low</w:t>
            </w:r>
          </w:p>
        </w:tc>
        <w:tc>
          <w:tcPr>
            <w:tcW w:w="2000" w:type="dxa"/>
            <w:tcBorders>
              <w:top w:val="single" w:sz="1" w:space="0" w:color="e0e0e0"/>
              <w:left w:val="single" w:sz="1" w:space="0" w:color="e0e0e0"/>
              <w:bottom w:val="single" w:sz="1" w:space="0" w:color="e0e0e0"/>
              <w:right w:val="single" w:sz="1" w:space="0" w:color="e0e0e0"/>
            </w:tcBorders>
            <w:shd w:val="clear" w:color="auto" w:fill="eaf4eb"/>
            <w:tcMar>
              <w:top w:w="80" w:type="dxa"/>
              <w:left w:w="140" w:type="dxa"/>
              <w:bottom w:w="80" w:type="dxa"/>
              <w:right w:w="140" w:type="dxa"/>
            </w:tcMar>
          </w:tcPr>
          <w:p>
            <w:pPr>
              <w:pStyle w:val="style0"/>
              <w:rPr/>
            </w:pPr>
            <w:r>
              <w:rPr>
                <w:rFonts w:ascii="Arial" w:cs="Arial" w:eastAsia="Arial" w:hAnsi="Arial"/>
                <w:b w:val="false"/>
                <w:bCs w:val="false"/>
                <w:color w:val="2e7d32"/>
                <w:sz w:val="20"/>
                <w:szCs w:val="20"/>
              </w:rPr>
              <w:t>0.27</w:t>
            </w:r>
          </w:p>
        </w:tc>
      </w:tr>
    </w:tbl>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Why dumping happens: the distance problem</w:t>
      </w:r>
    </w:p>
    <w:p>
      <w:pPr>
        <w:pStyle w:val="style0"/>
        <w:spacing w:before="80" w:after="100"/>
        <w:rPr/>
      </w:pPr>
      <w:r>
        <w:rPr>
          <w:rFonts w:ascii="Arial" w:cs="Arial" w:eastAsia="Arial" w:hAnsi="Arial"/>
          <w:color w:val="1a1a1a"/>
          <w:sz w:val="22"/>
          <w:szCs w:val="22"/>
        </w:rPr>
        <w:t>This is the most important finding in this section. Distance to the nearest disposal site correlates positively with illegal dumping at r = 0.34. That is not a coincidence — it is a causal relationship.</w:t>
      </w:r>
    </w:p>
    <w:p>
      <w:pPr>
        <w:pStyle w:val="style0"/>
        <w:spacing w:before="60" w:after="60"/>
        <w:rPr/>
      </w:pPr>
    </w:p>
    <w:p>
      <w:pPr>
        <w:pStyle w:val="style0"/>
        <w:spacing w:before="80" w:after="100"/>
        <w:rPr/>
      </w:pPr>
      <w:r>
        <w:rPr>
          <w:rFonts w:ascii="Arial" w:cs="Arial" w:eastAsia="Arial" w:hAnsi="Arial"/>
          <w:color w:val="1a1a1a"/>
          <w:sz w:val="22"/>
          <w:szCs w:val="22"/>
        </w:rPr>
        <w:t>136 communities sit more than 60km from a disposal site and report above-average dumping. These are structural hotspots. The formal waste system is physically inaccessible for these communities. Illegal dumping is the only available option — not a choice, but a default.</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
        <w:gridCol w:w="8960"/>
      </w:tblGrid>
      <w:tr>
        <w:trPr/>
        <w:tc>
          <w:tcPr>
            <w:tcW w:w="400" w:type="dxa"/>
            <w:tcBorders>
              <w:top w:val="none" w:sz="0" w:space="0" w:color="ffffff"/>
              <w:left w:val="none" w:sz="0" w:space="0" w:color="ffffff"/>
              <w:bottom w:val="none" w:sz="0" w:space="0" w:color="ffffff"/>
              <w:right w:val="none" w:sz="0" w:space="0" w:color="ffffff"/>
            </w:tcBorders>
            <w:shd w:val="clear" w:color="auto" w:fill="d47c0a"/>
            <w:tcMar>
              <w:top w:w="140" w:type="dxa"/>
              <w:left w:w="140" w:type="dxa"/>
              <w:bottom w:w="140" w:type="dxa"/>
              <w:right w:w="0" w:type="dxa"/>
            </w:tcMar>
          </w:tcPr>
          <w:p>
            <w:pPr>
              <w:pStyle w:val="style0"/>
              <w:rPr/>
            </w:pPr>
          </w:p>
        </w:tc>
        <w:tc>
          <w:tcPr>
            <w:tcW w:w="8960" w:type="dxa"/>
            <w:tcBorders>
              <w:top w:val="none" w:sz="0" w:space="0" w:color="ffffff"/>
              <w:left w:val="none" w:sz="0" w:space="0" w:color="ffffff"/>
              <w:bottom w:val="none" w:sz="0" w:space="0" w:color="ffffff"/>
              <w:right w:val="none" w:sz="0" w:space="0" w:color="ffffff"/>
            </w:tcBorders>
            <w:shd w:val="clear" w:color="auto" w:fill="fef3e2"/>
            <w:tcMar>
              <w:top w:w="120" w:type="dxa"/>
              <w:left w:w="180" w:type="dxa"/>
              <w:bottom w:w="120" w:type="dxa"/>
              <w:right w:w="180" w:type="dxa"/>
            </w:tcMar>
          </w:tcPr>
          <w:p>
            <w:pPr>
              <w:pStyle w:val="style0"/>
              <w:rPr/>
            </w:pPr>
            <w:r>
              <w:rPr>
                <w:rFonts w:ascii="Arial" w:cs="Arial" w:eastAsia="Arial" w:hAnsi="Arial"/>
                <w:b/>
                <w:bCs/>
                <w:color w:val="d47c0a"/>
                <w:sz w:val="20"/>
                <w:szCs w:val="20"/>
              </w:rPr>
              <w:t>Critical Distinction</w:t>
            </w:r>
          </w:p>
          <w:p>
            <w:pPr>
              <w:pStyle w:val="style0"/>
              <w:spacing w:before="60"/>
              <w:rPr/>
            </w:pPr>
            <w:r>
              <w:rPr>
                <w:rFonts w:ascii="Arial" w:cs="Arial" w:eastAsia="Arial" w:hAnsi="Arial"/>
                <w:color w:val="1a1a1a"/>
                <w:sz w:val="22"/>
                <w:szCs w:val="22"/>
              </w:rPr>
              <w:t>There are two types of dumping hotspots in this dataset. Behavioural hotspots — where awareness and enforcement can help. And structural hotspots — where the formal system is too far away to be used. The policy response is completely different for each. Targeting structural hotspots with awareness campaigns is a waste of resources.</w:t>
            </w:r>
          </w:p>
        </w:tc>
      </w:tr>
    </w:tbl>
    <w:p>
      <w:pPr>
        <w:pStyle w:val="style0"/>
        <w:spacing w:before="60" w:after="60"/>
        <w:rPr/>
      </w:pPr>
    </w:p>
    <w:p>
      <w:pPr>
        <w:pStyle w:val="style0"/>
        <w:rPr/>
      </w:pPr>
      <w:r>
        <w:br w:type="page"/>
      </w:r>
    </w:p>
    <w:p>
      <w:pPr>
        <w:pStyle w:val="style4097"/>
        <w:shd w:val="clear" w:color="auto" w:fill="1e5631"/>
        <w:spacing w:before="400" w:after="200"/>
        <w:ind w:left="200" w:right="200"/>
        <w:rPr/>
      </w:pPr>
      <w:r>
        <w:rPr>
          <w:rFonts w:ascii="Arial" w:cs="Arial" w:eastAsia="Arial" w:hAnsi="Arial"/>
          <w:b/>
          <w:bCs/>
          <w:color w:val="ffffff"/>
          <w:sz w:val="36"/>
          <w:szCs w:val="36"/>
        </w:rPr>
        <w:t>3. High-Risk and Critical Areas</w:t>
      </w:r>
    </w:p>
    <w:p>
      <w:pPr>
        <w:pStyle w:val="style0"/>
        <w:spacing w:before="60" w:after="60"/>
        <w:rPr/>
      </w:pPr>
    </w:p>
    <w:p>
      <w:pPr>
        <w:pStyle w:val="style0"/>
        <w:spacing w:before="80" w:after="160"/>
        <w:rPr/>
      </w:pPr>
      <w:r>
        <w:rPr>
          <w:rFonts w:ascii="Arial" w:cs="Arial" w:eastAsia="Arial" w:hAnsi="Arial"/>
          <w:i/>
          <w:iCs/>
          <w:color w:val="6b7280"/>
          <w:sz w:val="24"/>
          <w:szCs w:val="24"/>
        </w:rPr>
        <w:t>150 communities are in crisis right now. A third of them are in one state.</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The distribution of critical communities</w:t>
      </w:r>
    </w:p>
    <w:p>
      <w:pPr>
        <w:pStyle w:val="style0"/>
        <w:spacing w:before="80" w:after="100"/>
        <w:rPr/>
      </w:pPr>
      <w:r>
        <w:rPr>
          <w:rFonts w:ascii="Arial" w:cs="Arial" w:eastAsia="Arial" w:hAnsi="Arial"/>
          <w:color w:val="1a1a1a"/>
          <w:sz w:val="22"/>
          <w:szCs w:val="22"/>
        </w:rPr>
        <w:t>After recalibrating the risk classification — the original model flagged 84.1% of communities as High Risk, making it analytically useless — we now have 150 Critical communities representing the top 15% of risk scores. Here is where they are concentrated:</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2280"/>
        <w:gridCol w:w="2280"/>
        <w:gridCol w:w="1800"/>
      </w:tblGrid>
      <w:tr>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State</w:t>
            </w:r>
          </w:p>
        </w:tc>
        <w:tc>
          <w:tcPr>
            <w:tcW w:w="228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Critical Communities</w:t>
            </w:r>
          </w:p>
        </w:tc>
        <w:tc>
          <w:tcPr>
            <w:tcW w:w="228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 of State Total</w:t>
            </w:r>
          </w:p>
        </w:tc>
        <w:tc>
          <w:tcPr>
            <w:tcW w:w="18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Risk Tier</w:t>
            </w:r>
          </w:p>
        </w:tc>
      </w:tr>
      <w:tr>
        <w:tblPrEx/>
        <w:trPr>
          <w:tblHeader w:val="false"/>
        </w:trPr>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Borno</w:t>
            </w:r>
          </w:p>
        </w:tc>
        <w:tc>
          <w:tcPr>
            <w:tcW w:w="22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50</w:t>
            </w:r>
          </w:p>
        </w:tc>
        <w:tc>
          <w:tcPr>
            <w:tcW w:w="22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65.8%</w:t>
            </w:r>
          </w:p>
        </w:tc>
        <w:tc>
          <w:tcPr>
            <w:tcW w:w="1800" w:type="dxa"/>
            <w:tcBorders>
              <w:top w:val="single" w:sz="1" w:space="0" w:color="e0e0e0"/>
              <w:left w:val="single" w:sz="1" w:space="0" w:color="e0e0e0"/>
              <w:bottom w:val="single" w:sz="1" w:space="0" w:color="e0e0e0"/>
              <w:right w:val="single" w:sz="1" w:space="0" w:color="e0e0e0"/>
            </w:tcBorders>
            <w:shd w:val="clear" w:color="auto" w:fill="fdecea"/>
            <w:tcMar>
              <w:top w:w="80" w:type="dxa"/>
              <w:left w:w="140" w:type="dxa"/>
              <w:bottom w:w="80" w:type="dxa"/>
              <w:right w:w="140" w:type="dxa"/>
            </w:tcMar>
          </w:tcPr>
          <w:p>
            <w:pPr>
              <w:pStyle w:val="style0"/>
              <w:rPr/>
            </w:pPr>
            <w:r>
              <w:rPr>
                <w:rFonts w:ascii="Arial" w:cs="Arial" w:eastAsia="Arial" w:hAnsi="Arial"/>
                <w:b w:val="false"/>
                <w:bCs w:val="false"/>
                <w:color w:val="c0392b"/>
                <w:sz w:val="20"/>
                <w:szCs w:val="20"/>
              </w:rPr>
              <w:t>Critical</w:t>
            </w:r>
          </w:p>
        </w:tc>
      </w:tr>
      <w:tr>
        <w:tblPrEx/>
        <w:trPr>
          <w:tblHeader w:val="false"/>
        </w:trPr>
        <w:tc>
          <w:tcPr>
            <w:tcW w:w="30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Bauchi</w:t>
            </w:r>
          </w:p>
        </w:tc>
        <w:tc>
          <w:tcPr>
            <w:tcW w:w="22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32</w:t>
            </w:r>
          </w:p>
        </w:tc>
        <w:tc>
          <w:tcPr>
            <w:tcW w:w="22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42.1%</w:t>
            </w:r>
          </w:p>
        </w:tc>
        <w:tc>
          <w:tcPr>
            <w:tcW w:w="1800" w:type="dxa"/>
            <w:tcBorders>
              <w:top w:val="single" w:sz="1" w:space="0" w:color="e0e0e0"/>
              <w:left w:val="single" w:sz="1" w:space="0" w:color="e0e0e0"/>
              <w:bottom w:val="single" w:sz="1" w:space="0" w:color="e0e0e0"/>
              <w:right w:val="single" w:sz="1" w:space="0" w:color="e0e0e0"/>
            </w:tcBorders>
            <w:shd w:val="clear" w:color="auto" w:fill="fdecea"/>
            <w:tcMar>
              <w:top w:w="80" w:type="dxa"/>
              <w:left w:w="140" w:type="dxa"/>
              <w:bottom w:w="80" w:type="dxa"/>
              <w:right w:w="140" w:type="dxa"/>
            </w:tcMar>
          </w:tcPr>
          <w:p>
            <w:pPr>
              <w:pStyle w:val="style0"/>
              <w:rPr/>
            </w:pPr>
            <w:r>
              <w:rPr>
                <w:rFonts w:ascii="Arial" w:cs="Arial" w:eastAsia="Arial" w:hAnsi="Arial"/>
                <w:b w:val="false"/>
                <w:bCs w:val="false"/>
                <w:color w:val="c0392b"/>
                <w:sz w:val="20"/>
                <w:szCs w:val="20"/>
              </w:rPr>
              <w:t>Critical</w:t>
            </w:r>
          </w:p>
        </w:tc>
      </w:tr>
      <w:tr>
        <w:tblPrEx/>
        <w:trPr>
          <w:tblHeader w:val="false"/>
        </w:trPr>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Kaduna</w:t>
            </w:r>
          </w:p>
        </w:tc>
        <w:tc>
          <w:tcPr>
            <w:tcW w:w="22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19</w:t>
            </w:r>
          </w:p>
        </w:tc>
        <w:tc>
          <w:tcPr>
            <w:tcW w:w="22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25.0%</w:t>
            </w:r>
          </w:p>
        </w:tc>
        <w:tc>
          <w:tcPr>
            <w:tcW w:w="1800" w:type="dxa"/>
            <w:tcBorders>
              <w:top w:val="single" w:sz="1" w:space="0" w:color="e0e0e0"/>
              <w:left w:val="single" w:sz="1" w:space="0" w:color="e0e0e0"/>
              <w:bottom w:val="single" w:sz="1" w:space="0" w:color="e0e0e0"/>
              <w:right w:val="single" w:sz="1" w:space="0" w:color="e0e0e0"/>
            </w:tcBorders>
            <w:shd w:val="clear" w:color="auto" w:fill="fef3e2"/>
            <w:tcMar>
              <w:top w:w="80" w:type="dxa"/>
              <w:left w:w="140" w:type="dxa"/>
              <w:bottom w:w="80" w:type="dxa"/>
              <w:right w:w="140" w:type="dxa"/>
            </w:tcMar>
          </w:tcPr>
          <w:p>
            <w:pPr>
              <w:pStyle w:val="style0"/>
              <w:rPr/>
            </w:pPr>
            <w:r>
              <w:rPr>
                <w:rFonts w:ascii="Arial" w:cs="Arial" w:eastAsia="Arial" w:hAnsi="Arial"/>
                <w:b w:val="false"/>
                <w:bCs w:val="false"/>
                <w:color w:val="d47c0a"/>
                <w:sz w:val="20"/>
                <w:szCs w:val="20"/>
              </w:rPr>
              <w:t>High</w:t>
            </w:r>
          </w:p>
        </w:tc>
      </w:tr>
      <w:tr>
        <w:tblPrEx/>
        <w:trPr>
          <w:tblHeader w:val="false"/>
        </w:trPr>
        <w:tc>
          <w:tcPr>
            <w:tcW w:w="30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Kano</w:t>
            </w:r>
          </w:p>
        </w:tc>
        <w:tc>
          <w:tcPr>
            <w:tcW w:w="22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15</w:t>
            </w:r>
          </w:p>
        </w:tc>
        <w:tc>
          <w:tcPr>
            <w:tcW w:w="22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19.7%</w:t>
            </w:r>
          </w:p>
        </w:tc>
        <w:tc>
          <w:tcPr>
            <w:tcW w:w="1800" w:type="dxa"/>
            <w:tcBorders>
              <w:top w:val="single" w:sz="1" w:space="0" w:color="e0e0e0"/>
              <w:left w:val="single" w:sz="1" w:space="0" w:color="e0e0e0"/>
              <w:bottom w:val="single" w:sz="1" w:space="0" w:color="e0e0e0"/>
              <w:right w:val="single" w:sz="1" w:space="0" w:color="e0e0e0"/>
            </w:tcBorders>
            <w:shd w:val="clear" w:color="auto" w:fill="fef3e2"/>
            <w:tcMar>
              <w:top w:w="80" w:type="dxa"/>
              <w:left w:w="140" w:type="dxa"/>
              <w:bottom w:w="80" w:type="dxa"/>
              <w:right w:w="140" w:type="dxa"/>
            </w:tcMar>
          </w:tcPr>
          <w:p>
            <w:pPr>
              <w:pStyle w:val="style0"/>
              <w:rPr/>
            </w:pPr>
            <w:r>
              <w:rPr>
                <w:rFonts w:ascii="Arial" w:cs="Arial" w:eastAsia="Arial" w:hAnsi="Arial"/>
                <w:b w:val="false"/>
                <w:bCs w:val="false"/>
                <w:color w:val="d47c0a"/>
                <w:sz w:val="20"/>
                <w:szCs w:val="20"/>
              </w:rPr>
              <w:t>High</w:t>
            </w:r>
          </w:p>
        </w:tc>
      </w:tr>
      <w:tr>
        <w:tblPrEx/>
        <w:trPr>
          <w:tblHeader w:val="false"/>
        </w:trPr>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Imo</w:t>
            </w:r>
          </w:p>
        </w:tc>
        <w:tc>
          <w:tcPr>
            <w:tcW w:w="22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11</w:t>
            </w:r>
          </w:p>
        </w:tc>
        <w:tc>
          <w:tcPr>
            <w:tcW w:w="22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14.5%</w:t>
            </w:r>
          </w:p>
        </w:tc>
        <w:tc>
          <w:tcPr>
            <w:tcW w:w="1800" w:type="dxa"/>
            <w:tcBorders>
              <w:top w:val="single" w:sz="1" w:space="0" w:color="e0e0e0"/>
              <w:left w:val="single" w:sz="1" w:space="0" w:color="e0e0e0"/>
              <w:bottom w:val="single" w:sz="1" w:space="0" w:color="e0e0e0"/>
              <w:right w:val="single" w:sz="1" w:space="0" w:color="e0e0e0"/>
            </w:tcBorders>
            <w:shd w:val="clear" w:color="auto" w:fill="fef3e2"/>
            <w:tcMar>
              <w:top w:w="80" w:type="dxa"/>
              <w:left w:w="140" w:type="dxa"/>
              <w:bottom w:w="80" w:type="dxa"/>
              <w:right w:w="140" w:type="dxa"/>
            </w:tcMar>
          </w:tcPr>
          <w:p>
            <w:pPr>
              <w:pStyle w:val="style0"/>
              <w:rPr/>
            </w:pPr>
            <w:r>
              <w:rPr>
                <w:rFonts w:ascii="Arial" w:cs="Arial" w:eastAsia="Arial" w:hAnsi="Arial"/>
                <w:b w:val="false"/>
                <w:bCs w:val="false"/>
                <w:color w:val="d47c0a"/>
                <w:sz w:val="20"/>
                <w:szCs w:val="20"/>
              </w:rPr>
              <w:t>High</w:t>
            </w:r>
          </w:p>
        </w:tc>
      </w:tr>
      <w:tr>
        <w:tblPrEx/>
        <w:trPr>
          <w:tblHeader w:val="false"/>
        </w:trPr>
        <w:tc>
          <w:tcPr>
            <w:tcW w:w="30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FCT</w:t>
            </w:r>
          </w:p>
        </w:tc>
        <w:tc>
          <w:tcPr>
            <w:tcW w:w="22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w:t>
            </w:r>
          </w:p>
        </w:tc>
        <w:tc>
          <w:tcPr>
            <w:tcW w:w="22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2.6%</w:t>
            </w:r>
          </w:p>
        </w:tc>
        <w:tc>
          <w:tcPr>
            <w:tcW w:w="1800" w:type="dxa"/>
            <w:tcBorders>
              <w:top w:val="single" w:sz="1" w:space="0" w:color="e0e0e0"/>
              <w:left w:val="single" w:sz="1" w:space="0" w:color="e0e0e0"/>
              <w:bottom w:val="single" w:sz="1" w:space="0" w:color="e0e0e0"/>
              <w:right w:val="single" w:sz="1" w:space="0" w:color="e0e0e0"/>
            </w:tcBorders>
            <w:shd w:val="clear" w:color="auto" w:fill="eaf4eb"/>
            <w:tcMar>
              <w:top w:w="80" w:type="dxa"/>
              <w:left w:w="140" w:type="dxa"/>
              <w:bottom w:w="80" w:type="dxa"/>
              <w:right w:w="140" w:type="dxa"/>
            </w:tcMar>
          </w:tcPr>
          <w:p>
            <w:pPr>
              <w:pStyle w:val="style0"/>
              <w:rPr/>
            </w:pPr>
            <w:r>
              <w:rPr>
                <w:rFonts w:ascii="Arial" w:cs="Arial" w:eastAsia="Arial" w:hAnsi="Arial"/>
                <w:b w:val="false"/>
                <w:bCs w:val="false"/>
                <w:color w:val="2e7d32"/>
                <w:sz w:val="20"/>
                <w:szCs w:val="20"/>
              </w:rPr>
              <w:t>Low</w:t>
            </w:r>
          </w:p>
        </w:tc>
      </w:tr>
      <w:tr>
        <w:tblPrEx/>
        <w:trPr>
          <w:tblHeader w:val="false"/>
        </w:trPr>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Lagos</w:t>
            </w:r>
          </w:p>
        </w:tc>
        <w:tc>
          <w:tcPr>
            <w:tcW w:w="22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0</w:t>
            </w:r>
          </w:p>
        </w:tc>
        <w:tc>
          <w:tcPr>
            <w:tcW w:w="22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0%</w:t>
            </w:r>
          </w:p>
        </w:tc>
        <w:tc>
          <w:tcPr>
            <w:tcW w:w="1800" w:type="dxa"/>
            <w:tcBorders>
              <w:top w:val="single" w:sz="1" w:space="0" w:color="e0e0e0"/>
              <w:left w:val="single" w:sz="1" w:space="0" w:color="e0e0e0"/>
              <w:bottom w:val="single" w:sz="1" w:space="0" w:color="e0e0e0"/>
              <w:right w:val="single" w:sz="1" w:space="0" w:color="e0e0e0"/>
            </w:tcBorders>
            <w:shd w:val="clear" w:color="auto" w:fill="eaf4eb"/>
            <w:tcMar>
              <w:top w:w="80" w:type="dxa"/>
              <w:left w:w="140" w:type="dxa"/>
              <w:bottom w:w="80" w:type="dxa"/>
              <w:right w:w="140" w:type="dxa"/>
            </w:tcMar>
          </w:tcPr>
          <w:p>
            <w:pPr>
              <w:pStyle w:val="style0"/>
              <w:rPr/>
            </w:pPr>
            <w:r>
              <w:rPr>
                <w:rFonts w:ascii="Arial" w:cs="Arial" w:eastAsia="Arial" w:hAnsi="Arial"/>
                <w:b w:val="false"/>
                <w:bCs w:val="false"/>
                <w:color w:val="2e7d32"/>
                <w:sz w:val="20"/>
                <w:szCs w:val="20"/>
              </w:rPr>
              <w:t>Low</w:t>
            </w:r>
          </w:p>
        </w:tc>
      </w:tr>
    </w:tbl>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What a critical community looks like</w:t>
      </w:r>
    </w:p>
    <w:p>
      <w:pPr>
        <w:pStyle w:val="style0"/>
        <w:spacing w:before="80" w:after="100"/>
        <w:rPr/>
      </w:pPr>
      <w:r>
        <w:rPr>
          <w:rFonts w:ascii="Arial" w:cs="Arial" w:eastAsia="Arial" w:hAnsi="Arial"/>
          <w:color w:val="1a1a1a"/>
          <w:sz w:val="22"/>
          <w:szCs w:val="22"/>
        </w:rPr>
        <w:t>These are not outliers. They follow a consistent profile that makes them predictable and therefore addressable:</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rPr>
          <w:tblHeader/>
        </w:trPr>
        <w:tc>
          <w:tcPr>
            <w:tcW w:w="468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Indicator</w:t>
            </w:r>
          </w:p>
        </w:tc>
        <w:tc>
          <w:tcPr>
            <w:tcW w:w="468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Average Value (Critical Communities)</w:t>
            </w:r>
          </w:p>
        </w:tc>
      </w:tr>
      <w:tr>
        <w:tblPrEx/>
        <w:trPr>
          <w:tblHeader w:val="false"/>
        </w:trPr>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Population</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43,335</w:t>
            </w:r>
          </w:p>
        </w:tc>
      </w:tr>
      <w:tr>
        <w:tblPrEx/>
        <w:trPr>
          <w:tblHeader w:val="false"/>
        </w:trPr>
        <w:tc>
          <w:tcPr>
            <w:tcW w:w="4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Monthly waste generated</w:t>
            </w:r>
          </w:p>
        </w:tc>
        <w:tc>
          <w:tcPr>
            <w:tcW w:w="4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13.7 tons</w:t>
            </w:r>
          </w:p>
        </w:tc>
      </w:tr>
      <w:tr>
        <w:tblPrEx/>
        <w:trPr>
          <w:tblHeader w:val="false"/>
        </w:trPr>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Illegal dumping reports</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18.5</w:t>
            </w:r>
          </w:p>
        </w:tc>
      </w:tr>
      <w:tr>
        <w:tblPrEx/>
        <w:trPr>
          <w:tblHeader w:val="false"/>
        </w:trPr>
        <w:tc>
          <w:tcPr>
            <w:tcW w:w="4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Blocked drainage incidents</w:t>
            </w:r>
          </w:p>
        </w:tc>
        <w:tc>
          <w:tcPr>
            <w:tcW w:w="4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8.8</w:t>
            </w:r>
          </w:p>
        </w:tc>
      </w:tr>
      <w:tr>
        <w:tblPrEx/>
        <w:trPr>
          <w:tblHeader w:val="false"/>
        </w:trPr>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Flood incidents last year</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5.3</w:t>
            </w:r>
          </w:p>
        </w:tc>
      </w:tr>
      <w:tr>
        <w:tblPrEx/>
        <w:trPr>
          <w:tblHeader w:val="false"/>
        </w:trPr>
        <w:tc>
          <w:tcPr>
            <w:tcW w:w="4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Infrastructure quality score</w:t>
            </w:r>
          </w:p>
        </w:tc>
        <w:tc>
          <w:tcPr>
            <w:tcW w:w="4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42.4 / 100</w:t>
            </w:r>
          </w:p>
        </w:tc>
      </w:tr>
      <w:tr>
        <w:tblPrEx/>
        <w:trPr>
          <w:tblHeader w:val="false"/>
        </w:trPr>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Sanitation awareness score</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25.0 / 100</w:t>
            </w:r>
          </w:p>
        </w:tc>
      </w:tr>
      <w:tr>
        <w:tblPrEx/>
        <w:trPr>
          <w:tblHeader w:val="false"/>
        </w:trPr>
        <w:tc>
          <w:tcPr>
            <w:tcW w:w="4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Distance to disposal site</w:t>
            </w:r>
          </w:p>
        </w:tc>
        <w:tc>
          <w:tcPr>
            <w:tcW w:w="468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48.2 km</w:t>
            </w:r>
          </w:p>
        </w:tc>
      </w:tr>
    </w:tbl>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
        <w:gridCol w:w="8960"/>
      </w:tblGrid>
      <w:tr>
        <w:trPr/>
        <w:tc>
          <w:tcPr>
            <w:tcW w:w="400" w:type="dxa"/>
            <w:tcBorders>
              <w:top w:val="none" w:sz="0" w:space="0" w:color="ffffff"/>
              <w:left w:val="none" w:sz="0" w:space="0" w:color="ffffff"/>
              <w:bottom w:val="none" w:sz="0" w:space="0" w:color="ffffff"/>
              <w:right w:val="none" w:sz="0" w:space="0" w:color="ffffff"/>
            </w:tcBorders>
            <w:shd w:val="clear" w:color="auto" w:fill="2e7d82"/>
            <w:tcMar>
              <w:top w:w="140" w:type="dxa"/>
              <w:left w:w="140" w:type="dxa"/>
              <w:bottom w:w="140" w:type="dxa"/>
              <w:right w:w="0" w:type="dxa"/>
            </w:tcMar>
          </w:tcPr>
          <w:p>
            <w:pPr>
              <w:pStyle w:val="style0"/>
              <w:rPr/>
            </w:pPr>
          </w:p>
        </w:tc>
        <w:tc>
          <w:tcPr>
            <w:tcW w:w="8960" w:type="dxa"/>
            <w:tcBorders>
              <w:top w:val="none" w:sz="0" w:space="0" w:color="ffffff"/>
              <w:left w:val="none" w:sz="0" w:space="0" w:color="ffffff"/>
              <w:bottom w:val="none" w:sz="0" w:space="0" w:color="ffffff"/>
              <w:right w:val="none" w:sz="0" w:space="0" w:color="ffffff"/>
            </w:tcBorders>
            <w:shd w:val="clear" w:color="auto" w:fill="e8f4fd"/>
            <w:tcMar>
              <w:top w:w="120" w:type="dxa"/>
              <w:left w:w="180" w:type="dxa"/>
              <w:bottom w:w="120" w:type="dxa"/>
              <w:right w:w="180" w:type="dxa"/>
            </w:tcMar>
          </w:tcPr>
          <w:p>
            <w:pPr>
              <w:pStyle w:val="style0"/>
              <w:rPr/>
            </w:pPr>
            <w:r>
              <w:rPr>
                <w:rFonts w:ascii="Arial" w:cs="Arial" w:eastAsia="Arial" w:hAnsi="Arial"/>
                <w:b/>
                <w:bCs/>
                <w:color w:val="2e7d82"/>
                <w:sz w:val="20"/>
                <w:szCs w:val="20"/>
              </w:rPr>
              <w:t>The FCT vs Borno Contrast</w:t>
            </w:r>
          </w:p>
          <w:p>
            <w:pPr>
              <w:pStyle w:val="style0"/>
              <w:spacing w:before="60"/>
              <w:rPr/>
            </w:pPr>
            <w:r>
              <w:rPr>
                <w:rFonts w:ascii="Arial" w:cs="Arial" w:eastAsia="Arial" w:hAnsi="Arial"/>
                <w:color w:val="1a1a1a"/>
                <w:sz w:val="22"/>
                <w:szCs w:val="22"/>
              </w:rPr>
              <w:t>FCT averages 1.98 collections per week, an infrastructure score of 85, and only 2 Critical communities. Borno averages 1.1 collections per week, an infrastructure score of 41, and 50 Critical communities. Same country, entirely different outcomes. The variable explaining this is investment — not geography, not population, not culture.</w:t>
            </w:r>
          </w:p>
        </w:tc>
      </w:tr>
    </w:tbl>
    <w:p>
      <w:pPr>
        <w:pStyle w:val="style0"/>
        <w:spacing w:before="60" w:after="60"/>
        <w:rPr/>
      </w:pPr>
    </w:p>
    <w:p>
      <w:pPr>
        <w:pStyle w:val="style0"/>
        <w:rPr/>
      </w:pPr>
      <w:r>
        <w:br w:type="page"/>
      </w:r>
    </w:p>
    <w:p>
      <w:pPr>
        <w:pStyle w:val="style4097"/>
        <w:shd w:val="clear" w:color="auto" w:fill="1e5631"/>
        <w:spacing w:before="400" w:after="200"/>
        <w:ind w:left="200" w:right="200"/>
        <w:rPr/>
      </w:pPr>
      <w:r>
        <w:rPr>
          <w:rFonts w:ascii="Arial" w:cs="Arial" w:eastAsia="Arial" w:hAnsi="Arial"/>
          <w:b/>
          <w:bCs/>
          <w:color w:val="ffffff"/>
          <w:sz w:val="36"/>
          <w:szCs w:val="36"/>
        </w:rPr>
        <w:t>4. Environmental Concerns</w:t>
      </w:r>
    </w:p>
    <w:p>
      <w:pPr>
        <w:pStyle w:val="style0"/>
        <w:spacing w:before="60" w:after="60"/>
        <w:rPr/>
      </w:pPr>
    </w:p>
    <w:p>
      <w:pPr>
        <w:pStyle w:val="style0"/>
        <w:spacing w:before="80" w:after="160"/>
        <w:rPr/>
      </w:pPr>
      <w:r>
        <w:rPr>
          <w:rFonts w:ascii="Arial" w:cs="Arial" w:eastAsia="Arial" w:hAnsi="Arial"/>
          <w:i/>
          <w:iCs/>
          <w:color w:val="6b7280"/>
          <w:sz w:val="24"/>
          <w:szCs w:val="24"/>
        </w:rPr>
        <w:t>Three compounding environmental crises are running simultaneously in this dataset. Each one makes the others worse.</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Crisis 1: The Flood-Drainage Loop</w:t>
      </w:r>
    </w:p>
    <w:p>
      <w:pPr>
        <w:pStyle w:val="style0"/>
        <w:spacing w:before="80" w:after="100"/>
        <w:rPr/>
      </w:pPr>
      <w:r>
        <w:rPr>
          <w:rFonts w:ascii="Arial" w:cs="Arial" w:eastAsia="Arial" w:hAnsi="Arial"/>
          <w:color w:val="1a1a1a"/>
          <w:sz w:val="22"/>
          <w:szCs w:val="22"/>
        </w:rPr>
        <w:t>159 communities experience five or more flood incidents and eight or more blocked drainage incidents per year simultaneously. This is not coincidence — it is a causal loop. Uncleared waste blocks drainage channels. Blocked drainage channels cause flooding. Flooding spreads waste further and blocks more drainage.</w:t>
      </w:r>
    </w:p>
    <w:p>
      <w:pPr>
        <w:pStyle w:val="style0"/>
        <w:spacing w:before="60" w:after="60"/>
        <w:rPr/>
      </w:pPr>
    </w:p>
    <w:p>
      <w:pPr>
        <w:pStyle w:val="style0"/>
        <w:spacing w:before="80" w:after="100"/>
        <w:rPr/>
      </w:pPr>
      <w:r>
        <w:rPr>
          <w:rFonts w:ascii="Arial" w:cs="Arial" w:eastAsia="Arial" w:hAnsi="Arial"/>
          <w:color w:val="1a1a1a"/>
          <w:sz w:val="22"/>
          <w:szCs w:val="22"/>
        </w:rPr>
        <w:t>Borno leads with 45 communities in this loop, followed by Bauchi at 30 and Kaduna at 25. Until waste collection frequency increases in these communities, this loop cannot be broken regardless of drainage maintenance efforts.</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
        <w:gridCol w:w="8960"/>
      </w:tblGrid>
      <w:tr>
        <w:trPr/>
        <w:tc>
          <w:tcPr>
            <w:tcW w:w="400" w:type="dxa"/>
            <w:tcBorders>
              <w:top w:val="none" w:sz="0" w:space="0" w:color="ffffff"/>
              <w:left w:val="none" w:sz="0" w:space="0" w:color="ffffff"/>
              <w:bottom w:val="none" w:sz="0" w:space="0" w:color="ffffff"/>
              <w:right w:val="none" w:sz="0" w:space="0" w:color="ffffff"/>
            </w:tcBorders>
            <w:shd w:val="clear" w:color="auto" w:fill="c0392b"/>
            <w:tcMar>
              <w:top w:w="140" w:type="dxa"/>
              <w:left w:w="140" w:type="dxa"/>
              <w:bottom w:w="140" w:type="dxa"/>
              <w:right w:w="0" w:type="dxa"/>
            </w:tcMar>
          </w:tcPr>
          <w:p>
            <w:pPr>
              <w:pStyle w:val="style0"/>
              <w:rPr/>
            </w:pPr>
          </w:p>
        </w:tc>
        <w:tc>
          <w:tcPr>
            <w:tcW w:w="8960" w:type="dxa"/>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pPr>
              <w:pStyle w:val="style0"/>
              <w:rPr/>
            </w:pPr>
            <w:r>
              <w:rPr>
                <w:rFonts w:ascii="Arial" w:cs="Arial" w:eastAsia="Arial" w:hAnsi="Arial"/>
                <w:b/>
                <w:bCs/>
                <w:color w:val="c0392b"/>
                <w:sz w:val="20"/>
                <w:szCs w:val="20"/>
              </w:rPr>
              <w:t>Why this matters</w:t>
            </w:r>
          </w:p>
          <w:p>
            <w:pPr>
              <w:pStyle w:val="style0"/>
              <w:spacing w:before="60"/>
              <w:rPr/>
            </w:pPr>
            <w:r>
              <w:rPr>
                <w:rFonts w:ascii="Arial" w:cs="Arial" w:eastAsia="Arial" w:hAnsi="Arial"/>
                <w:color w:val="1a1a1a"/>
                <w:sz w:val="22"/>
                <w:szCs w:val="22"/>
              </w:rPr>
              <w:t>The flood-drainage loop is a public health emergency, not just an environmental inconvenience. Floodwater contaminated with waste carries waterborne disease. In communities with 40,000+ residents and infrastructure scores below 45, the health consequences are severe and predictable.</w:t>
            </w:r>
          </w:p>
        </w:tc>
      </w:tr>
    </w:tbl>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Crisis 2: Recycling Collapse</w:t>
      </w:r>
    </w:p>
    <w:p>
      <w:pPr>
        <w:pStyle w:val="style0"/>
        <w:spacing w:before="80" w:after="100"/>
        <w:rPr/>
      </w:pPr>
      <w:r>
        <w:rPr>
          <w:rFonts w:ascii="Arial" w:cs="Arial" w:eastAsia="Arial" w:hAnsi="Arial"/>
          <w:color w:val="1a1a1a"/>
          <w:sz w:val="22"/>
          <w:szCs w:val="22"/>
        </w:rPr>
        <w:t>The dataset mean recycling rate is 21.9% — already low. But 22 communities combine a recycling rate below 10% with monthly waste generation above 20 tons. These communities are functioning as waste-to-environment pipelines with no recovery mechanism whatsoever.</w:t>
      </w:r>
    </w:p>
    <w:p>
      <w:pPr>
        <w:pStyle w:val="style0"/>
        <w:spacing w:before="60" w:after="60"/>
        <w:rPr/>
      </w:pPr>
    </w:p>
    <w:p>
      <w:pPr>
        <w:pStyle w:val="style0"/>
        <w:spacing w:before="80" w:after="100"/>
        <w:rPr/>
      </w:pPr>
      <w:r>
        <w:rPr>
          <w:rFonts w:ascii="Arial" w:cs="Arial" w:eastAsia="Arial" w:hAnsi="Arial"/>
          <w:color w:val="1a1a1a"/>
          <w:sz w:val="22"/>
          <w:szCs w:val="22"/>
        </w:rPr>
        <w:t>The important nuance here: low recycling in high-risk communities is not a behaviour problem to be solved with education campaigns. It is a structural problem. Communities in crisis mode — managing illegal dumping, flood damage, and blocked drainage simultaneously — do not have the capacity to sort and recycle. Fix the baseline infrastructure first. Recycling programs will find traction in Medium-tier communities, not Critical ones.</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Crisis 3: The Awareness-Infrastructure Gap</w:t>
      </w:r>
    </w:p>
    <w:p>
      <w:pPr>
        <w:pStyle w:val="style0"/>
        <w:spacing w:before="80" w:after="100"/>
        <w:rPr/>
      </w:pPr>
      <w:r>
        <w:rPr>
          <w:rFonts w:ascii="Arial" w:cs="Arial" w:eastAsia="Arial" w:hAnsi="Arial"/>
          <w:color w:val="1a1a1a"/>
          <w:sz w:val="22"/>
          <w:szCs w:val="22"/>
        </w:rPr>
        <w:t>The mean sanitation awareness score is 33.6 out of 100. Critical communities average only 25.0. This correlation is real but it is not causal in the direction most people assume. Low awareness does not cause high risk. Low infrastructure causes high risk, and low infrastructure communities also tend to have lower awareness investment — because they are underinvested in general.</w:t>
      </w:r>
    </w:p>
    <w:p>
      <w:pPr>
        <w:pStyle w:val="style0"/>
        <w:spacing w:before="60" w:after="60"/>
        <w:rPr/>
      </w:pPr>
    </w:p>
    <w:p>
      <w:pPr>
        <w:pStyle w:val="style0"/>
        <w:spacing w:before="80" w:after="100"/>
        <w:rPr/>
      </w:pPr>
      <w:r>
        <w:rPr>
          <w:rFonts w:ascii="Arial" w:cs="Arial" w:eastAsia="Arial" w:hAnsi="Arial"/>
          <w:color w:val="1a1a1a"/>
          <w:sz w:val="22"/>
          <w:szCs w:val="22"/>
        </w:rPr>
        <w:t>Awareness campaigns without accompanying infrastructure produce no measurable behaviour change in this dataset. Infrastructure quality (r = -0.81 correlation with risk score) and collection frequency (r = -0.64) are the two variables that actually move the needle.</w:t>
      </w:r>
    </w:p>
    <w:p>
      <w:pPr>
        <w:pStyle w:val="style0"/>
        <w:spacing w:before="60" w:after="60"/>
        <w:rPr/>
      </w:pPr>
    </w:p>
    <w:p>
      <w:pPr>
        <w:pStyle w:val="style0"/>
        <w:rPr/>
      </w:pPr>
      <w:r>
        <w:br w:type="page"/>
      </w:r>
    </w:p>
    <w:p>
      <w:pPr>
        <w:pStyle w:val="style4097"/>
        <w:shd w:val="clear" w:color="auto" w:fill="1e5631"/>
        <w:spacing w:before="400" w:after="200"/>
        <w:ind w:left="200" w:right="200"/>
        <w:rPr/>
      </w:pPr>
      <w:r>
        <w:rPr>
          <w:rFonts w:ascii="Arial" w:cs="Arial" w:eastAsia="Arial" w:hAnsi="Arial"/>
          <w:b/>
          <w:bCs/>
          <w:color w:val="ffffff"/>
          <w:sz w:val="36"/>
          <w:szCs w:val="36"/>
        </w:rPr>
        <w:t>5. Predictive Indicators</w:t>
      </w:r>
    </w:p>
    <w:p>
      <w:pPr>
        <w:pStyle w:val="style0"/>
        <w:spacing w:before="60" w:after="60"/>
        <w:rPr/>
      </w:pPr>
    </w:p>
    <w:p>
      <w:pPr>
        <w:pStyle w:val="style0"/>
        <w:spacing w:before="80" w:after="160"/>
        <w:rPr/>
      </w:pPr>
      <w:r>
        <w:rPr>
          <w:rFonts w:ascii="Arial" w:cs="Arial" w:eastAsia="Arial" w:hAnsi="Arial"/>
          <w:i/>
          <w:iCs/>
          <w:color w:val="6b7280"/>
          <w:sz w:val="24"/>
          <w:szCs w:val="24"/>
        </w:rPr>
        <w:t>The data tells us which communities are heading toward crisis before they get there. Here is what to watch.</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The two strongest protective factors</w:t>
      </w:r>
    </w:p>
    <w:p>
      <w:pPr>
        <w:pStyle w:val="style0"/>
        <w:spacing w:before="80" w:after="100"/>
        <w:rPr/>
      </w:pPr>
      <w:r>
        <w:rPr>
          <w:rFonts w:ascii="Arial" w:cs="Arial" w:eastAsia="Arial" w:hAnsi="Arial"/>
          <w:color w:val="1a1a1a"/>
          <w:sz w:val="22"/>
          <w:szCs w:val="22"/>
        </w:rPr>
        <w:t>Across all variables in the dataset, two factors predict low risk more reliably than anything else:</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3960"/>
      </w:tblGrid>
      <w:tr>
        <w:trPr>
          <w:tblHeader/>
        </w:trPr>
        <w:tc>
          <w:tcPr>
            <w:tcW w:w="36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Variable</w:t>
            </w:r>
          </w:p>
        </w:tc>
        <w:tc>
          <w:tcPr>
            <w:tcW w:w="180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Correlation</w:t>
            </w:r>
          </w:p>
        </w:tc>
        <w:tc>
          <w:tcPr>
            <w:tcW w:w="396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What it means</w:t>
            </w:r>
          </w:p>
        </w:tc>
      </w:tr>
      <w:tr>
        <w:tblPrEx/>
        <w:trPr>
          <w:tblHeader w:val="false"/>
        </w:trPr>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Infrastructure Quality Score</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-0.814</w:t>
            </w:r>
          </w:p>
        </w:tc>
        <w:tc>
          <w:tcPr>
            <w:tcW w:w="3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Strongest single predictor of low risk. A community with good infrastructure is unlikely to reach Critical regardless of other factors.</w:t>
            </w:r>
          </w:p>
        </w:tc>
      </w:tr>
      <w:tr>
        <w:tblPrEx/>
        <w:trPr>
          <w:tblHeader w:val="false"/>
        </w:trPr>
        <w:tc>
          <w:tcPr>
            <w:tcW w:w="36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Waste Collection Frequency</w:t>
            </w:r>
          </w:p>
        </w:tc>
        <w:tc>
          <w:tcPr>
            <w:tcW w:w="18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-0.644</w:t>
            </w:r>
          </w:p>
        </w:tc>
        <w:tc>
          <w:tcPr>
            <w:tcW w:w="396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Second strongest predictor. Moving from 1x to 2x per week correlates with a 35% reduction in illegal dumping reports.</w:t>
            </w:r>
          </w:p>
        </w:tc>
      </w:tr>
      <w:tr>
        <w:tblPrEx/>
        <w:trPr>
          <w:tblHeader w:val="false"/>
        </w:trPr>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Sanitation Awareness Score</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-0.489</w:t>
            </w:r>
          </w:p>
        </w:tc>
        <w:tc>
          <w:tcPr>
            <w:tcW w:w="3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Protective but secondary. It amplifies the effect of good infrastructure rather than substituting for it.</w:t>
            </w:r>
          </w:p>
        </w:tc>
      </w:tr>
      <w:tr>
        <w:tblPrEx/>
        <w:trPr>
          <w:tblHeader w:val="false"/>
        </w:trPr>
        <w:tc>
          <w:tcPr>
            <w:tcW w:w="36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Distance to Disposal Site</w:t>
            </w:r>
          </w:p>
        </w:tc>
        <w:tc>
          <w:tcPr>
            <w:tcW w:w="180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+0.345</w:t>
            </w:r>
          </w:p>
        </w:tc>
        <w:tc>
          <w:tcPr>
            <w:tcW w:w="396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Risk amplifier. Every additional kilometre increases the structural incentive to dump illegally.</w:t>
            </w:r>
          </w:p>
        </w:tc>
      </w:tr>
    </w:tbl>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The three-variable early warning flag</w:t>
      </w:r>
    </w:p>
    <w:p>
      <w:pPr>
        <w:pStyle w:val="style0"/>
        <w:spacing w:before="80" w:after="100"/>
        <w:rPr/>
      </w:pPr>
      <w:r>
        <w:rPr>
          <w:rFonts w:ascii="Arial" w:cs="Arial" w:eastAsia="Arial" w:hAnsi="Arial"/>
          <w:color w:val="1a1a1a"/>
          <w:sz w:val="22"/>
          <w:szCs w:val="22"/>
        </w:rPr>
        <w:t>Any community where all three of the following are true is highly likely to fall in the High or Critical risk tier:</w:t>
      </w:r>
    </w:p>
    <w:p>
      <w:pPr>
        <w:pStyle w:val="style0"/>
        <w:spacing w:before="60" w:after="60"/>
        <w:rPr/>
      </w:pPr>
    </w:p>
    <w:p>
      <w:pPr>
        <w:pStyle w:val="style179"/>
        <w:numPr>
          <w:ilvl w:val="0"/>
          <w:numId w:val="1"/>
        </w:numPr>
        <w:spacing w:before="60" w:after="60"/>
        <w:ind w:left="720" w:hanging="360"/>
        <w:rPr/>
      </w:pPr>
      <w:r>
        <w:rPr>
          <w:rFonts w:ascii="Arial" w:cs="Arial" w:eastAsia="Arial" w:hAnsi="Arial"/>
          <w:color w:val="1a1a1a"/>
          <w:sz w:val="22"/>
          <w:szCs w:val="22"/>
        </w:rPr>
        <w:t>Infrastructure Quality Score below 45</w:t>
      </w:r>
    </w:p>
    <w:p>
      <w:pPr>
        <w:pStyle w:val="style179"/>
        <w:numPr>
          <w:ilvl w:val="0"/>
          <w:numId w:val="1"/>
        </w:numPr>
        <w:spacing w:before="60" w:after="60"/>
        <w:ind w:left="720" w:hanging="360"/>
        <w:rPr/>
      </w:pPr>
      <w:r>
        <w:rPr>
          <w:rFonts w:ascii="Arial" w:cs="Arial" w:eastAsia="Arial" w:hAnsi="Arial"/>
          <w:color w:val="1a1a1a"/>
          <w:sz w:val="22"/>
          <w:szCs w:val="22"/>
        </w:rPr>
        <w:t>Waste collection frequency of once per week</w:t>
      </w:r>
    </w:p>
    <w:p>
      <w:pPr>
        <w:pStyle w:val="style179"/>
        <w:numPr>
          <w:ilvl w:val="0"/>
          <w:numId w:val="1"/>
        </w:numPr>
        <w:spacing w:before="60" w:after="60"/>
        <w:ind w:left="720" w:hanging="360"/>
        <w:rPr/>
      </w:pPr>
      <w:r>
        <w:rPr>
          <w:rFonts w:ascii="Arial" w:cs="Arial" w:eastAsia="Arial" w:hAnsi="Arial"/>
          <w:color w:val="1a1a1a"/>
          <w:sz w:val="22"/>
          <w:szCs w:val="22"/>
        </w:rPr>
        <w:t>Distance to disposal site greater than 50km</w:t>
      </w:r>
    </w:p>
    <w:p>
      <w:pPr>
        <w:pStyle w:val="style0"/>
        <w:spacing w:before="60" w:after="60"/>
        <w:rPr/>
      </w:pPr>
    </w:p>
    <w:p>
      <w:pPr>
        <w:pStyle w:val="style0"/>
        <w:spacing w:before="80" w:after="100"/>
        <w:rPr/>
      </w:pPr>
      <w:r>
        <w:rPr>
          <w:rFonts w:ascii="Arial" w:cs="Arial" w:eastAsia="Arial" w:hAnsi="Arial"/>
          <w:color w:val="1a1a1a"/>
          <w:sz w:val="22"/>
          <w:szCs w:val="22"/>
        </w:rPr>
        <w:t>This combination identifies communities in structural free-fall. They lack the physical infrastructure to manage waste, the collection frequency to prevent accumulation, and the disposal access to make formal waste management viable. Left unaddressed, these communities will deteriorate further regardless of awareness investment or enforcement.</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
        <w:gridCol w:w="8960"/>
      </w:tblGrid>
      <w:tr>
        <w:trPr/>
        <w:tc>
          <w:tcPr>
            <w:tcW w:w="400" w:type="dxa"/>
            <w:tcBorders>
              <w:top w:val="none" w:sz="0" w:space="0" w:color="ffffff"/>
              <w:left w:val="none" w:sz="0" w:space="0" w:color="ffffff"/>
              <w:bottom w:val="none" w:sz="0" w:space="0" w:color="ffffff"/>
              <w:right w:val="none" w:sz="0" w:space="0" w:color="ffffff"/>
            </w:tcBorders>
            <w:shd w:val="clear" w:color="auto" w:fill="2e7d32"/>
            <w:tcMar>
              <w:top w:w="140" w:type="dxa"/>
              <w:left w:w="140" w:type="dxa"/>
              <w:bottom w:w="140" w:type="dxa"/>
              <w:right w:w="0" w:type="dxa"/>
            </w:tcMar>
          </w:tcPr>
          <w:p>
            <w:pPr>
              <w:pStyle w:val="style0"/>
              <w:rPr/>
            </w:pPr>
          </w:p>
        </w:tc>
        <w:tc>
          <w:tcPr>
            <w:tcW w:w="8960" w:type="dxa"/>
            <w:tcBorders>
              <w:top w:val="none" w:sz="0" w:space="0" w:color="ffffff"/>
              <w:left w:val="none" w:sz="0" w:space="0" w:color="ffffff"/>
              <w:bottom w:val="none" w:sz="0" w:space="0" w:color="ffffff"/>
              <w:right w:val="none" w:sz="0" w:space="0" w:color="ffffff"/>
            </w:tcBorders>
            <w:shd w:val="clear" w:color="auto" w:fill="eaf4eb"/>
            <w:tcMar>
              <w:top w:w="120" w:type="dxa"/>
              <w:left w:w="180" w:type="dxa"/>
              <w:bottom w:w="120" w:type="dxa"/>
              <w:right w:w="180" w:type="dxa"/>
            </w:tcMar>
          </w:tcPr>
          <w:p>
            <w:pPr>
              <w:pStyle w:val="style0"/>
              <w:rPr/>
            </w:pPr>
            <w:r>
              <w:rPr>
                <w:rFonts w:ascii="Arial" w:cs="Arial" w:eastAsia="Arial" w:hAnsi="Arial"/>
                <w:b/>
                <w:bCs/>
                <w:color w:val="2e7d32"/>
                <w:sz w:val="20"/>
                <w:szCs w:val="20"/>
              </w:rPr>
              <w:t>Operational Use</w:t>
            </w:r>
          </w:p>
          <w:p>
            <w:pPr>
              <w:pStyle w:val="style0"/>
              <w:spacing w:before="60"/>
              <w:rPr/>
            </w:pPr>
            <w:r>
              <w:rPr>
                <w:rFonts w:ascii="Arial" w:cs="Arial" w:eastAsia="Arial" w:hAnsi="Arial"/>
                <w:color w:val="1a1a1a"/>
                <w:sz w:val="22"/>
                <w:szCs w:val="22"/>
              </w:rPr>
              <w:t>This three-variable flag should be embedded in any new community development planning process. Any new settlement meeting all three criteria should trigger automatic waste infrastructure planning before population growth scales the problem beyond manageable levels.</w:t>
            </w:r>
          </w:p>
        </w:tc>
      </w:tr>
    </w:tbl>
    <w:p>
      <w:pPr>
        <w:pStyle w:val="style0"/>
        <w:spacing w:before="60" w:after="60"/>
        <w:rPr/>
      </w:pPr>
    </w:p>
    <w:p>
      <w:pPr>
        <w:pStyle w:val="style0"/>
        <w:rPr/>
      </w:pPr>
      <w:r>
        <w:br w:type="page"/>
      </w:r>
    </w:p>
    <w:p>
      <w:pPr>
        <w:pStyle w:val="style4097"/>
        <w:shd w:val="clear" w:color="auto" w:fill="1e5631"/>
        <w:spacing w:before="400" w:after="200"/>
        <w:ind w:left="200" w:right="200"/>
        <w:rPr/>
      </w:pPr>
      <w:r>
        <w:rPr>
          <w:rFonts w:ascii="Arial" w:cs="Arial" w:eastAsia="Arial" w:hAnsi="Arial"/>
          <w:b/>
          <w:bCs/>
          <w:color w:val="ffffff"/>
          <w:sz w:val="36"/>
          <w:szCs w:val="36"/>
        </w:rPr>
        <w:t>6. Resource Allocation Opportunities</w:t>
      </w:r>
    </w:p>
    <w:p>
      <w:pPr>
        <w:pStyle w:val="style0"/>
        <w:spacing w:before="60" w:after="60"/>
        <w:rPr/>
      </w:pPr>
    </w:p>
    <w:p>
      <w:pPr>
        <w:pStyle w:val="style0"/>
        <w:spacing w:before="80" w:after="160"/>
        <w:rPr/>
      </w:pPr>
      <w:r>
        <w:rPr>
          <w:rFonts w:ascii="Arial" w:cs="Arial" w:eastAsia="Arial" w:hAnsi="Arial"/>
          <w:i/>
          <w:iCs/>
          <w:color w:val="6b7280"/>
          <w:sz w:val="24"/>
          <w:szCs w:val="24"/>
        </w:rPr>
        <w:t>Not all interventions are equal. Here is where investment produces the highest return.</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Priority Tier 1: The 150 Critical Communities</w:t>
      </w:r>
    </w:p>
    <w:p>
      <w:pPr>
        <w:pStyle w:val="style0"/>
        <w:spacing w:before="80" w:after="100"/>
        <w:rPr/>
      </w:pPr>
      <w:r>
        <w:rPr>
          <w:rFonts w:ascii="Arial" w:cs="Arial" w:eastAsia="Arial" w:hAnsi="Arial"/>
          <w:color w:val="1a1a1a"/>
          <w:sz w:val="22"/>
          <w:szCs w:val="22"/>
        </w:rPr>
        <w:t>Borno, Bauchi, and Kaduna hold 67% of all Critical communities — 101 out of 150. Any resource allocation strategy that does not start here is misaligned with the data. These three states should receive dedicated waste management budget, collection vehicles, and disposal site access before expansion to other areas.</w:t>
      </w:r>
    </w:p>
    <w:p>
      <w:pPr>
        <w:pStyle w:val="style0"/>
        <w:spacing w:before="60" w:after="60"/>
        <w:rPr/>
      </w:pPr>
    </w:p>
    <w:p>
      <w:pPr>
        <w:pStyle w:val="style0"/>
        <w:spacing w:before="80" w:after="100"/>
        <w:rPr/>
      </w:pPr>
      <w:r>
        <w:rPr>
          <w:rFonts w:ascii="Arial" w:cs="Arial" w:eastAsia="Arial" w:hAnsi="Arial"/>
          <w:color w:val="1a1a1a"/>
          <w:sz w:val="22"/>
          <w:szCs w:val="22"/>
        </w:rPr>
        <w:t>Within these states, prioritise communities that also carry the Early Warning Flag — they are actively deteriorating and will require more resource to stabilise the longer action is delayed.</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Priority Tier 2: The 106 Underserved High-Risk Communities</w:t>
      </w:r>
    </w:p>
    <w:p>
      <w:pPr>
        <w:pStyle w:val="style0"/>
        <w:spacing w:before="80" w:after="100"/>
        <w:rPr/>
      </w:pPr>
      <w:r>
        <w:rPr>
          <w:rFonts w:ascii="Arial" w:cs="Arial" w:eastAsia="Arial" w:hAnsi="Arial"/>
          <w:color w:val="1a1a1a"/>
          <w:sz w:val="22"/>
          <w:szCs w:val="22"/>
        </w:rPr>
        <w:t>106 communities currently receive once-per-week collection despite generating over 15 tons of waste per month and sitting in the High or Critical risk tier. These are the clearest return-on-investment cases in the dataset.</w:t>
      </w:r>
    </w:p>
    <w:p>
      <w:pPr>
        <w:pStyle w:val="style0"/>
        <w:spacing w:before="60" w:after="60"/>
        <w:rPr/>
      </w:pPr>
    </w:p>
    <w:p>
      <w:pPr>
        <w:pStyle w:val="style0"/>
        <w:spacing w:before="80" w:after="100"/>
        <w:rPr/>
      </w:pPr>
      <w:r>
        <w:rPr>
          <w:rFonts w:ascii="Arial" w:cs="Arial" w:eastAsia="Arial" w:hAnsi="Arial"/>
          <w:color w:val="1a1a1a"/>
          <w:sz w:val="22"/>
          <w:szCs w:val="22"/>
        </w:rPr>
        <w:t>Increasing collection frequency from 1x to 2x per week in these communities is associated with a 35% reduction in illegal dumping reports — the single highest-leverage low-cost intervention available. No new infrastructure required. No new disposal sites. Just more trucks, more often.</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rPr>
          <w:tblHeader/>
        </w:trPr>
        <w:tc>
          <w:tcPr>
            <w:tcW w:w="312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State</w:t>
            </w:r>
          </w:p>
        </w:tc>
        <w:tc>
          <w:tcPr>
            <w:tcW w:w="312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Underserved Communities</w:t>
            </w:r>
          </w:p>
        </w:tc>
        <w:tc>
          <w:tcPr>
            <w:tcW w:w="3120" w:type="dxa"/>
            <w:tcBorders>
              <w:top w:val="single" w:sz="1" w:space="0" w:color="e0e0e0"/>
              <w:left w:val="single" w:sz="1" w:space="0" w:color="e0e0e0"/>
              <w:bottom w:val="single" w:sz="1" w:space="0" w:color="e0e0e0"/>
              <w:right w:val="single" w:sz="1" w:space="0" w:color="e0e0e0"/>
            </w:tcBorders>
            <w:shd w:val="clear" w:color="auto" w:fill="1e5631"/>
            <w:tcMar>
              <w:top w:w="80" w:type="dxa"/>
              <w:left w:w="140" w:type="dxa"/>
              <w:bottom w:w="80" w:type="dxa"/>
              <w:right w:w="140" w:type="dxa"/>
            </w:tcMar>
          </w:tcPr>
          <w:p>
            <w:pPr>
              <w:pStyle w:val="style0"/>
              <w:rPr/>
            </w:pPr>
            <w:r>
              <w:rPr>
                <w:rFonts w:ascii="Arial" w:cs="Arial" w:eastAsia="Arial" w:hAnsi="Arial"/>
                <w:b/>
                <w:bCs/>
                <w:color w:val="ffffff"/>
                <w:sz w:val="20"/>
                <w:szCs w:val="20"/>
              </w:rPr>
              <w:t>Priority Level</w:t>
            </w:r>
          </w:p>
        </w:tc>
      </w:tr>
      <w:tr>
        <w:tblPrEx/>
        <w:trPr>
          <w:tblHeader w:val="false"/>
        </w:trPr>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Borno</w:t>
            </w:r>
          </w:p>
        </w:tc>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25</w:t>
            </w:r>
          </w:p>
        </w:tc>
        <w:tc>
          <w:tcPr>
            <w:tcW w:w="3120" w:type="dxa"/>
            <w:tcBorders>
              <w:top w:val="single" w:sz="1" w:space="0" w:color="e0e0e0"/>
              <w:left w:val="single" w:sz="1" w:space="0" w:color="e0e0e0"/>
              <w:bottom w:val="single" w:sz="1" w:space="0" w:color="e0e0e0"/>
              <w:right w:val="single" w:sz="1" w:space="0" w:color="e0e0e0"/>
            </w:tcBorders>
            <w:shd w:val="clear" w:color="auto" w:fill="fdecea"/>
            <w:tcMar>
              <w:top w:w="80" w:type="dxa"/>
              <w:left w:w="140" w:type="dxa"/>
              <w:bottom w:w="80" w:type="dxa"/>
              <w:right w:w="140" w:type="dxa"/>
            </w:tcMar>
          </w:tcPr>
          <w:p>
            <w:pPr>
              <w:pStyle w:val="style0"/>
              <w:rPr/>
            </w:pPr>
            <w:r>
              <w:rPr>
                <w:rFonts w:ascii="Arial" w:cs="Arial" w:eastAsia="Arial" w:hAnsi="Arial"/>
                <w:b w:val="false"/>
                <w:bCs w:val="false"/>
                <w:color w:val="c0392b"/>
                <w:sz w:val="20"/>
                <w:szCs w:val="20"/>
              </w:rPr>
              <w:t>Immediate</w:t>
            </w:r>
          </w:p>
        </w:tc>
      </w:tr>
      <w:tr>
        <w:tblPrEx/>
        <w:trPr>
          <w:tblHeader w:val="false"/>
        </w:trPr>
        <w:tc>
          <w:tcPr>
            <w:tcW w:w="312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Bauchi</w:t>
            </w:r>
          </w:p>
        </w:tc>
        <w:tc>
          <w:tcPr>
            <w:tcW w:w="312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15</w:t>
            </w:r>
          </w:p>
        </w:tc>
        <w:tc>
          <w:tcPr>
            <w:tcW w:w="3120" w:type="dxa"/>
            <w:tcBorders>
              <w:top w:val="single" w:sz="1" w:space="0" w:color="e0e0e0"/>
              <w:left w:val="single" w:sz="1" w:space="0" w:color="e0e0e0"/>
              <w:bottom w:val="single" w:sz="1" w:space="0" w:color="e0e0e0"/>
              <w:right w:val="single" w:sz="1" w:space="0" w:color="e0e0e0"/>
            </w:tcBorders>
            <w:shd w:val="clear" w:color="auto" w:fill="fdecea"/>
            <w:tcMar>
              <w:top w:w="80" w:type="dxa"/>
              <w:left w:w="140" w:type="dxa"/>
              <w:bottom w:w="80" w:type="dxa"/>
              <w:right w:w="140" w:type="dxa"/>
            </w:tcMar>
          </w:tcPr>
          <w:p>
            <w:pPr>
              <w:pStyle w:val="style0"/>
              <w:rPr/>
            </w:pPr>
            <w:r>
              <w:rPr>
                <w:rFonts w:ascii="Arial" w:cs="Arial" w:eastAsia="Arial" w:hAnsi="Arial"/>
                <w:b w:val="false"/>
                <w:bCs w:val="false"/>
                <w:color w:val="c0392b"/>
                <w:sz w:val="20"/>
                <w:szCs w:val="20"/>
              </w:rPr>
              <w:t>Immediate</w:t>
            </w:r>
          </w:p>
        </w:tc>
      </w:tr>
      <w:tr>
        <w:tblPrEx/>
        <w:trPr>
          <w:tblHeader w:val="false"/>
        </w:trPr>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Imo</w:t>
            </w:r>
          </w:p>
        </w:tc>
        <w:tc>
          <w:tcPr>
            <w:tcW w:w="312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14</w:t>
            </w:r>
          </w:p>
        </w:tc>
        <w:tc>
          <w:tcPr>
            <w:tcW w:w="3120" w:type="dxa"/>
            <w:tcBorders>
              <w:top w:val="single" w:sz="1" w:space="0" w:color="e0e0e0"/>
              <w:left w:val="single" w:sz="1" w:space="0" w:color="e0e0e0"/>
              <w:bottom w:val="single" w:sz="1" w:space="0" w:color="e0e0e0"/>
              <w:right w:val="single" w:sz="1" w:space="0" w:color="e0e0e0"/>
            </w:tcBorders>
            <w:shd w:val="clear" w:color="auto" w:fill="fef3e2"/>
            <w:tcMar>
              <w:top w:w="80" w:type="dxa"/>
              <w:left w:w="140" w:type="dxa"/>
              <w:bottom w:w="80" w:type="dxa"/>
              <w:right w:w="140" w:type="dxa"/>
            </w:tcMar>
          </w:tcPr>
          <w:p>
            <w:pPr>
              <w:pStyle w:val="style0"/>
              <w:rPr/>
            </w:pPr>
            <w:r>
              <w:rPr>
                <w:rFonts w:ascii="Arial" w:cs="Arial" w:eastAsia="Arial" w:hAnsi="Arial"/>
                <w:b w:val="false"/>
                <w:bCs w:val="false"/>
                <w:color w:val="d47c0a"/>
                <w:sz w:val="20"/>
                <w:szCs w:val="20"/>
              </w:rPr>
              <w:t>High</w:t>
            </w:r>
          </w:p>
        </w:tc>
      </w:tr>
      <w:tr>
        <w:tblPrEx/>
        <w:trPr>
          <w:tblHeader w:val="false"/>
        </w:trPr>
        <w:tc>
          <w:tcPr>
            <w:tcW w:w="312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Kaduna</w:t>
            </w:r>
          </w:p>
        </w:tc>
        <w:tc>
          <w:tcPr>
            <w:tcW w:w="3120" w:type="dxa"/>
            <w:tcBorders>
              <w:top w:val="single" w:sz="1" w:space="0" w:color="e0e0e0"/>
              <w:left w:val="single" w:sz="1" w:space="0" w:color="e0e0e0"/>
              <w:bottom w:val="single" w:sz="1" w:space="0" w:color="e0e0e0"/>
              <w:right w:val="single" w:sz="1" w:space="0" w:color="e0e0e0"/>
            </w:tcBorders>
            <w:shd w:val="clear" w:color="auto" w:fill="f4f6f4"/>
            <w:tcMar>
              <w:top w:w="80" w:type="dxa"/>
              <w:left w:w="140" w:type="dxa"/>
              <w:bottom w:w="80" w:type="dxa"/>
              <w:right w:w="140" w:type="dxa"/>
            </w:tcMar>
          </w:tcPr>
          <w:p>
            <w:pPr>
              <w:pStyle w:val="style0"/>
              <w:rPr/>
            </w:pPr>
            <w:r>
              <w:rPr>
                <w:rFonts w:ascii="Arial" w:cs="Arial" w:eastAsia="Arial" w:hAnsi="Arial"/>
                <w:b w:val="false"/>
                <w:bCs w:val="false"/>
                <w:color w:val="1a1a1a"/>
                <w:sz w:val="20"/>
                <w:szCs w:val="20"/>
              </w:rPr>
              <w:t>12</w:t>
            </w:r>
          </w:p>
        </w:tc>
        <w:tc>
          <w:tcPr>
            <w:tcW w:w="3120" w:type="dxa"/>
            <w:tcBorders>
              <w:top w:val="single" w:sz="1" w:space="0" w:color="e0e0e0"/>
              <w:left w:val="single" w:sz="1" w:space="0" w:color="e0e0e0"/>
              <w:bottom w:val="single" w:sz="1" w:space="0" w:color="e0e0e0"/>
              <w:right w:val="single" w:sz="1" w:space="0" w:color="e0e0e0"/>
            </w:tcBorders>
            <w:shd w:val="clear" w:color="auto" w:fill="fef3e2"/>
            <w:tcMar>
              <w:top w:w="80" w:type="dxa"/>
              <w:left w:w="140" w:type="dxa"/>
              <w:bottom w:w="80" w:type="dxa"/>
              <w:right w:w="140" w:type="dxa"/>
            </w:tcMar>
          </w:tcPr>
          <w:p>
            <w:pPr>
              <w:pStyle w:val="style0"/>
              <w:rPr/>
            </w:pPr>
            <w:r>
              <w:rPr>
                <w:rFonts w:ascii="Arial" w:cs="Arial" w:eastAsia="Arial" w:hAnsi="Arial"/>
                <w:b w:val="false"/>
                <w:bCs w:val="false"/>
                <w:color w:val="d47c0a"/>
                <w:sz w:val="20"/>
                <w:szCs w:val="20"/>
              </w:rPr>
              <w:t>High</w:t>
            </w:r>
          </w:p>
        </w:tc>
      </w:tr>
    </w:tbl>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Priority Tier 3: The 136 Structural Hotspot Communities</w:t>
      </w:r>
    </w:p>
    <w:p>
      <w:pPr>
        <w:pStyle w:val="style0"/>
        <w:spacing w:before="80" w:after="100"/>
        <w:rPr/>
      </w:pPr>
      <w:r>
        <w:rPr>
          <w:rFonts w:ascii="Arial" w:cs="Arial" w:eastAsia="Arial" w:hAnsi="Arial"/>
          <w:color w:val="1a1a1a"/>
          <w:sz w:val="22"/>
          <w:szCs w:val="22"/>
        </w:rPr>
        <w:t>136 communities are more than 60km from a disposal site and report above-average illegal dumping. These communities cannot access the formal waste system regardless of their willingness to use it. Building or designating intermediate waste transfer stations in Kaduna, Borno, Plateau, and Bauchi corridors would immediately reduce the structural incentive to dump illegally.</w:t>
      </w:r>
    </w:p>
    <w:p>
      <w:pPr>
        <w:pStyle w:val="style0"/>
        <w:spacing w:before="60" w:after="60"/>
        <w:rPr/>
      </w:pPr>
    </w:p>
    <w:p>
      <w:pPr>
        <w:pStyle w:val="style0"/>
        <w:spacing w:before="80" w:after="100"/>
        <w:rPr/>
      </w:pPr>
      <w:r>
        <w:rPr>
          <w:rFonts w:ascii="Arial" w:cs="Arial" w:eastAsia="Arial" w:hAnsi="Arial"/>
          <w:color w:val="1a1a1a"/>
          <w:sz w:val="22"/>
          <w:szCs w:val="22"/>
        </w:rPr>
        <w:t>This is a longer-term infrastructure investment, but it addresses the root cause rather than the symptom. Enforcement and awareness campaigns in these communities will produce minimal results until this access gap is closed.</w:t>
      </w:r>
    </w:p>
    <w:p>
      <w:pPr>
        <w:pStyle w:val="style0"/>
        <w:spacing w:before="60" w:after="60"/>
        <w:rPr/>
      </w:pPr>
    </w:p>
    <w:p>
      <w:pPr>
        <w:pStyle w:val="style0"/>
        <w:rPr/>
      </w:pPr>
      <w:r>
        <w:br w:type="page"/>
      </w:r>
    </w:p>
    <w:p>
      <w:pPr>
        <w:pStyle w:val="style4097"/>
        <w:shd w:val="clear" w:color="auto" w:fill="1e5631"/>
        <w:spacing w:before="400" w:after="200"/>
        <w:ind w:left="200" w:right="200"/>
        <w:rPr/>
      </w:pPr>
      <w:r>
        <w:rPr>
          <w:rFonts w:ascii="Arial" w:cs="Arial" w:eastAsia="Arial" w:hAnsi="Arial"/>
          <w:b/>
          <w:bCs/>
          <w:color w:val="ffffff"/>
          <w:sz w:val="36"/>
          <w:szCs w:val="36"/>
        </w:rPr>
        <w:t>7. Policy Recommendations</w:t>
      </w:r>
    </w:p>
    <w:p>
      <w:pPr>
        <w:pStyle w:val="style0"/>
        <w:spacing w:before="60" w:after="60"/>
        <w:rPr/>
      </w:pPr>
    </w:p>
    <w:p>
      <w:pPr>
        <w:pStyle w:val="style0"/>
        <w:spacing w:before="80" w:after="160"/>
        <w:rPr/>
      </w:pPr>
      <w:r>
        <w:rPr>
          <w:rFonts w:ascii="Arial" w:cs="Arial" w:eastAsia="Arial" w:hAnsi="Arial"/>
          <w:i/>
          <w:iCs/>
          <w:color w:val="6b7280"/>
          <w:sz w:val="24"/>
          <w:szCs w:val="24"/>
        </w:rPr>
        <w:t>Eight recommendations, three audiences. Every one of them is grounded directly in the data.</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For State Government</w:t>
      </w:r>
    </w:p>
    <w:p>
      <w:pPr>
        <w:pStyle w:val="style0"/>
        <w:spacing w:before="60" w:after="60"/>
        <w:rPr/>
      </w:pPr>
    </w:p>
    <w:p>
      <w:pPr>
        <w:pStyle w:val="style4099"/>
        <w:spacing w:before="240" w:after="100"/>
        <w:rPr/>
      </w:pPr>
      <w:r>
        <w:rPr>
          <w:rFonts w:ascii="Arial" w:cs="Arial" w:eastAsia="Arial" w:hAnsi="Arial"/>
          <w:b/>
          <w:bCs/>
          <w:color w:val="2e7d82"/>
          <w:sz w:val="24"/>
          <w:szCs w:val="24"/>
        </w:rPr>
        <w:t>Recommendation 1: Declare Borno, Bauchi, and Kaduna Environmental Priority Zones</w:t>
      </w:r>
    </w:p>
    <w:p>
      <w:pPr>
        <w:pStyle w:val="style0"/>
        <w:spacing w:before="80" w:after="100"/>
        <w:rPr/>
      </w:pPr>
      <w:r>
        <w:rPr>
          <w:rFonts w:ascii="Arial" w:cs="Arial" w:eastAsia="Arial" w:hAnsi="Arial"/>
          <w:color w:val="1a1a1a"/>
          <w:sz w:val="22"/>
          <w:szCs w:val="22"/>
        </w:rPr>
        <w:t>These three states hold 67% of all Critical communities. Allocate dedicated waste management budgets targeting these states before expanding to others. Priority zone status should unlock emergency collection resources, infrastructure funding, and disposal site access planning.</w:t>
      </w:r>
    </w:p>
    <w:p>
      <w:pPr>
        <w:pStyle w:val="style0"/>
        <w:spacing w:before="60" w:after="60"/>
        <w:rPr/>
      </w:pPr>
    </w:p>
    <w:p>
      <w:pPr>
        <w:pStyle w:val="style4099"/>
        <w:spacing w:before="240" w:after="100"/>
        <w:rPr/>
      </w:pPr>
      <w:r>
        <w:rPr>
          <w:rFonts w:ascii="Arial" w:cs="Arial" w:eastAsia="Arial" w:hAnsi="Arial"/>
          <w:b/>
          <w:bCs/>
          <w:color w:val="2e7d82"/>
          <w:sz w:val="24"/>
          <w:szCs w:val="24"/>
        </w:rPr>
        <w:t>Recommendation 2: Mandate Minimum 2x Per Week Collection for High-Waste Communities</w:t>
      </w:r>
    </w:p>
    <w:p>
      <w:pPr>
        <w:pStyle w:val="style0"/>
        <w:spacing w:before="80" w:after="100"/>
        <w:rPr/>
      </w:pPr>
      <w:r>
        <w:rPr>
          <w:rFonts w:ascii="Arial" w:cs="Arial" w:eastAsia="Arial" w:hAnsi="Arial"/>
          <w:color w:val="1a1a1a"/>
          <w:sz w:val="22"/>
          <w:szCs w:val="22"/>
        </w:rPr>
        <w:t>Any community generating more than 15 tons of waste per month must receive at least twice-weekly collection. The data shows this single policy change reduces illegal dumping by approximately 35% without requiring new infrastructure. 106 communities qualify for this intervention immediately.</w:t>
      </w:r>
    </w:p>
    <w:p>
      <w:pPr>
        <w:pStyle w:val="style0"/>
        <w:spacing w:before="60" w:after="60"/>
        <w:rPr/>
      </w:pPr>
    </w:p>
    <w:p>
      <w:pPr>
        <w:pStyle w:val="style4099"/>
        <w:spacing w:before="240" w:after="100"/>
        <w:rPr/>
      </w:pPr>
      <w:r>
        <w:rPr>
          <w:rFonts w:ascii="Arial" w:cs="Arial" w:eastAsia="Arial" w:hAnsi="Arial"/>
          <w:b/>
          <w:bCs/>
          <w:color w:val="2e7d82"/>
          <w:sz w:val="24"/>
          <w:szCs w:val="24"/>
        </w:rPr>
        <w:t>Recommendation 3: Build Intermediate Transfer Stations in High-Distance Corridors</w:t>
      </w:r>
    </w:p>
    <w:p>
      <w:pPr>
        <w:pStyle w:val="style0"/>
        <w:spacing w:before="80" w:after="100"/>
        <w:rPr/>
      </w:pPr>
      <w:r>
        <w:rPr>
          <w:rFonts w:ascii="Arial" w:cs="Arial" w:eastAsia="Arial" w:hAnsi="Arial"/>
          <w:color w:val="1a1a1a"/>
          <w:sz w:val="22"/>
          <w:szCs w:val="22"/>
        </w:rPr>
        <w:t>136 communities sit more than 60km from a disposal site. Designated intermediate transfer points in Plateau, Kaduna, and Bauchi corridors would close this access gap. These do not need to be full disposal facilities — collection points that aggregate waste for transport are sufficient and significantly cheaper to establish.</w:t>
      </w:r>
    </w:p>
    <w:p>
      <w:pPr>
        <w:pStyle w:val="style0"/>
        <w:spacing w:before="60" w:after="60"/>
        <w:rPr/>
      </w:pPr>
    </w:p>
    <w:p>
      <w:pPr>
        <w:pStyle w:val="style4099"/>
        <w:spacing w:before="240" w:after="100"/>
        <w:rPr/>
      </w:pPr>
      <w:r>
        <w:rPr>
          <w:rFonts w:ascii="Arial" w:cs="Arial" w:eastAsia="Arial" w:hAnsi="Arial"/>
          <w:b/>
          <w:bCs/>
          <w:color w:val="2e7d82"/>
          <w:sz w:val="24"/>
          <w:szCs w:val="24"/>
        </w:rPr>
        <w:t>Recommendation 4: Embed the Three-Variable Early Warning Flag in Urban Planning</w:t>
      </w:r>
    </w:p>
    <w:p>
      <w:pPr>
        <w:pStyle w:val="style0"/>
        <w:spacing w:before="80" w:after="100"/>
        <w:rPr/>
      </w:pPr>
      <w:r>
        <w:rPr>
          <w:rFonts w:ascii="Arial" w:cs="Arial" w:eastAsia="Arial" w:hAnsi="Arial"/>
          <w:color w:val="1a1a1a"/>
          <w:sz w:val="22"/>
          <w:szCs w:val="22"/>
        </w:rPr>
        <w:t>Any new community development where Infrastructure Score is projected below 45, collection frequency is planned at once per week, and distance to disposal will exceed 50km must trigger mandatory waste infrastructure planning before construction begins. Retrofitting infrastructure into established communities costs significantly more than building it in from the start.</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For NGOs and Development Partners</w:t>
      </w:r>
    </w:p>
    <w:p>
      <w:pPr>
        <w:pStyle w:val="style0"/>
        <w:spacing w:before="60" w:after="60"/>
        <w:rPr/>
      </w:pPr>
    </w:p>
    <w:p>
      <w:pPr>
        <w:pStyle w:val="style4099"/>
        <w:spacing w:before="240" w:after="100"/>
        <w:rPr/>
      </w:pPr>
      <w:r>
        <w:rPr>
          <w:rFonts w:ascii="Arial" w:cs="Arial" w:eastAsia="Arial" w:hAnsi="Arial"/>
          <w:b/>
          <w:bCs/>
          <w:color w:val="2e7d82"/>
          <w:sz w:val="24"/>
          <w:szCs w:val="24"/>
        </w:rPr>
        <w:t>Recommendation 5: Target Awareness Programs at Medium-Tier Communities, Not Critical</w:t>
      </w:r>
    </w:p>
    <w:p>
      <w:pPr>
        <w:pStyle w:val="style0"/>
        <w:spacing w:before="80" w:after="100"/>
        <w:rPr/>
      </w:pPr>
      <w:r>
        <w:rPr>
          <w:rFonts w:ascii="Arial" w:cs="Arial" w:eastAsia="Arial" w:hAnsi="Arial"/>
          <w:color w:val="1a1a1a"/>
          <w:sz w:val="22"/>
          <w:szCs w:val="22"/>
        </w:rPr>
        <w:t>Critical communities need infrastructure, not education. Awareness campaigns without accompanying physical infrastructure produce no measurable behaviour change in communities managing active crisis conditions. Medium-tier communities — which have baseline infrastructure in place — are where awareness investment converts to action. This is not an argument against awareness programs. It is an argument for sequencing them correctly.</w:t>
      </w:r>
    </w:p>
    <w:p>
      <w:pPr>
        <w:pStyle w:val="style0"/>
        <w:spacing w:before="60" w:after="60"/>
        <w:rPr/>
      </w:pPr>
    </w:p>
    <w:p>
      <w:pPr>
        <w:pStyle w:val="style4099"/>
        <w:spacing w:before="240" w:after="100"/>
        <w:rPr/>
      </w:pPr>
      <w:r>
        <w:rPr>
          <w:rFonts w:ascii="Arial" w:cs="Arial" w:eastAsia="Arial" w:hAnsi="Arial"/>
          <w:b/>
          <w:bCs/>
          <w:color w:val="2e7d82"/>
          <w:sz w:val="24"/>
          <w:szCs w:val="24"/>
        </w:rPr>
        <w:t>Recommendation 6: Pilot Community-Based Waste Transfer Programs in the Top 30 Critical Communities</w:t>
      </w:r>
    </w:p>
    <w:p>
      <w:pPr>
        <w:pStyle w:val="style0"/>
        <w:spacing w:before="80" w:after="100"/>
        <w:rPr/>
      </w:pPr>
      <w:r>
        <w:rPr>
          <w:rFonts w:ascii="Arial" w:cs="Arial" w:eastAsia="Arial" w:hAnsi="Arial"/>
          <w:color w:val="1a1a1a"/>
          <w:sz w:val="22"/>
          <w:szCs w:val="22"/>
        </w:rPr>
        <w:t>Given the formal system's inaccessibility for many Critical communities, community-managed collection points can function as first-mile infrastructure while formal systems are built. Paid community members aggregate waste at central points for formal collection. This model has worked in comparable contexts across Sub-Saharan Africa and requires minimal capital investment to pilot.</w:t>
      </w:r>
    </w:p>
    <w:p>
      <w:pPr>
        <w:pStyle w:val="style0"/>
        <w:spacing w:before="60" w:after="60"/>
        <w:rPr/>
      </w:pPr>
    </w:p>
    <w:p>
      <w:pPr>
        <w:pStyle w:val="style4098"/>
        <w:pBdr>
          <w:bottom w:val="single" w:sz="4" w:space="2" w:color="2e7d82"/>
        </w:pBdr>
        <w:spacing w:before="320" w:after="120"/>
        <w:rPr/>
      </w:pPr>
      <w:r>
        <w:rPr>
          <w:rFonts w:ascii="Arial" w:cs="Arial" w:eastAsia="Arial" w:hAnsi="Arial"/>
          <w:b/>
          <w:bCs/>
          <w:color w:val="1e5631"/>
          <w:sz w:val="28"/>
          <w:szCs w:val="28"/>
        </w:rPr>
        <w:t>For Urban Planners</w:t>
      </w:r>
    </w:p>
    <w:p>
      <w:pPr>
        <w:pStyle w:val="style0"/>
        <w:spacing w:before="60" w:after="60"/>
        <w:rPr/>
      </w:pPr>
    </w:p>
    <w:p>
      <w:pPr>
        <w:pStyle w:val="style4099"/>
        <w:spacing w:before="240" w:after="100"/>
        <w:rPr/>
      </w:pPr>
      <w:r>
        <w:rPr>
          <w:rFonts w:ascii="Arial" w:cs="Arial" w:eastAsia="Arial" w:hAnsi="Arial"/>
          <w:b/>
          <w:bCs/>
          <w:color w:val="2e7d82"/>
          <w:sz w:val="24"/>
          <w:szCs w:val="24"/>
        </w:rPr>
        <w:t>Recommendation 7: Adopt the Recalibrated Four-Tier Risk Model as the Official Classification Standard</w:t>
      </w:r>
    </w:p>
    <w:p>
      <w:pPr>
        <w:pStyle w:val="style0"/>
        <w:spacing w:before="80" w:after="100"/>
        <w:rPr/>
      </w:pPr>
      <w:r>
        <w:rPr>
          <w:rFonts w:ascii="Arial" w:cs="Arial" w:eastAsia="Arial" w:hAnsi="Arial"/>
          <w:color w:val="1a1a1a"/>
          <w:sz w:val="22"/>
          <w:szCs w:val="22"/>
        </w:rPr>
        <w:t>The original binary High/Medium/Low classification flagged 84.1% of communities as High Risk — a figure that communicates nothing actionable. The recalibrated four-tier percentile model produces 150 Critical communities, 190 High, 330 Medium, and 330 Low. This gives planners a workable priority list. Retire the original classification system and adopt this model for all future reporting and resource allocation decisions.</w:t>
      </w:r>
    </w:p>
    <w:p>
      <w:pPr>
        <w:pStyle w:val="style0"/>
        <w:spacing w:before="60" w:after="60"/>
        <w:rPr/>
      </w:pPr>
    </w:p>
    <w:p>
      <w:pPr>
        <w:pStyle w:val="style4099"/>
        <w:spacing w:before="240" w:after="100"/>
        <w:rPr/>
      </w:pPr>
      <w:r>
        <w:rPr>
          <w:rFonts w:ascii="Arial" w:cs="Arial" w:eastAsia="Arial" w:hAnsi="Arial"/>
          <w:b/>
          <w:bCs/>
          <w:color w:val="2e7d82"/>
          <w:sz w:val="24"/>
          <w:szCs w:val="24"/>
        </w:rPr>
        <w:t>Recommendation 8: Use FCT as the Infrastructure Benchmark</w:t>
      </w:r>
    </w:p>
    <w:p>
      <w:pPr>
        <w:pStyle w:val="style0"/>
        <w:spacing w:before="80" w:after="100"/>
        <w:rPr/>
      </w:pPr>
      <w:r>
        <w:rPr>
          <w:rFonts w:ascii="Arial" w:cs="Arial" w:eastAsia="Arial" w:hAnsi="Arial"/>
          <w:color w:val="1a1a1a"/>
          <w:sz w:val="22"/>
          <w:szCs w:val="22"/>
        </w:rPr>
        <w:t>FCT's combination of near-2x weekly collection, infrastructure score of 85, and near-zero Critical communities is not accidental — it is the result of sustained investment. Use FCT's metrics as the target state for other regions rather than national averages, which are depressed by underinvested states. The gap between FCT and Borno is the policy opportunity.</w:t>
      </w:r>
    </w:p>
    <w:p>
      <w:pPr>
        <w:pStyle w:val="style0"/>
        <w:spacing w:before="60" w:after="60"/>
        <w:rPr/>
      </w:pPr>
    </w:p>
    <w:p>
      <w:pPr>
        <w:pStyle w:val="style0"/>
        <w:rPr/>
      </w:pPr>
      <w:r>
        <w:br w:type="page"/>
      </w:r>
    </w:p>
    <w:p>
      <w:pPr>
        <w:pStyle w:val="style4097"/>
        <w:shd w:val="clear" w:color="auto" w:fill="1e5631"/>
        <w:spacing w:before="400" w:after="200"/>
        <w:ind w:left="200" w:right="200"/>
        <w:rPr/>
      </w:pPr>
      <w:r>
        <w:rPr>
          <w:rFonts w:ascii="Arial" w:cs="Arial" w:eastAsia="Arial" w:hAnsi="Arial"/>
          <w:b/>
          <w:bCs/>
          <w:color w:val="ffffff"/>
          <w:sz w:val="36"/>
          <w:szCs w:val="36"/>
        </w:rPr>
        <w:t>8. Closing Note</w:t>
      </w:r>
    </w:p>
    <w:p>
      <w:pPr>
        <w:pStyle w:val="style0"/>
        <w:spacing w:before="60" w:after="60"/>
        <w:rPr/>
      </w:pPr>
    </w:p>
    <w:p>
      <w:pPr>
        <w:pStyle w:val="style0"/>
        <w:spacing w:before="80" w:after="160"/>
        <w:rPr/>
      </w:pPr>
      <w:r>
        <w:rPr>
          <w:rFonts w:ascii="Arial" w:cs="Arial" w:eastAsia="Arial" w:hAnsi="Arial"/>
          <w:i/>
          <w:iCs/>
          <w:color w:val="6b7280"/>
          <w:sz w:val="24"/>
          <w:szCs w:val="24"/>
        </w:rPr>
        <w:t>The data is clear. The path forward is knowable. What is required now is prioritisation.</w:t>
      </w:r>
    </w:p>
    <w:p>
      <w:pPr>
        <w:pStyle w:val="style0"/>
        <w:spacing w:before="60" w:after="60"/>
        <w:rPr/>
      </w:pPr>
    </w:p>
    <w:p>
      <w:pPr>
        <w:pStyle w:val="style0"/>
        <w:spacing w:before="80" w:after="100"/>
        <w:rPr/>
      </w:pPr>
      <w:r>
        <w:rPr>
          <w:rFonts w:ascii="Arial" w:cs="Arial" w:eastAsia="Arial" w:hAnsi="Arial"/>
          <w:color w:val="1a1a1a"/>
          <w:sz w:val="22"/>
          <w:szCs w:val="22"/>
        </w:rPr>
        <w:t>Urban waste mismanagement in Nigeria is a solvable problem. This analysis identifies 150 communities in immediate crisis, 106 that can be stabilised through a single operational change, and 136 that need structural infrastructure access to function. None of these require novel solutions — they require the right interventions in the right places in the right order.</w:t>
      </w:r>
    </w:p>
    <w:p>
      <w:pPr>
        <w:pStyle w:val="style0"/>
        <w:spacing w:before="60" w:after="60"/>
        <w:rPr/>
      </w:pPr>
    </w:p>
    <w:p>
      <w:pPr>
        <w:pStyle w:val="style0"/>
        <w:spacing w:before="80" w:after="100"/>
        <w:rPr/>
      </w:pPr>
      <w:r>
        <w:rPr>
          <w:rFonts w:ascii="Arial" w:cs="Arial" w:eastAsia="Arial" w:hAnsi="Arial"/>
          <w:color w:val="1a1a1a"/>
          <w:sz w:val="22"/>
          <w:szCs w:val="22"/>
        </w:rPr>
        <w:t>The North-South infrastructure divide is the central story of this dataset. FCT and Lagos demonstrate that high waste generation does not produce high risk when infrastructure investment keeps pace. Borno, Bauchi, and Kaduna demonstrate what happens when it does not. Closing that gap is the work.</w:t>
      </w:r>
    </w:p>
    <w:p>
      <w:pPr>
        <w:pStyle w:val="style0"/>
        <w:spacing w:before="60" w:after="6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
        <w:gridCol w:w="8960"/>
      </w:tblGrid>
      <w:tr>
        <w:trPr/>
        <w:tc>
          <w:tcPr>
            <w:tcW w:w="400" w:type="dxa"/>
            <w:tcBorders>
              <w:top w:val="none" w:sz="0" w:space="0" w:color="ffffff"/>
              <w:left w:val="none" w:sz="0" w:space="0" w:color="ffffff"/>
              <w:bottom w:val="none" w:sz="0" w:space="0" w:color="ffffff"/>
              <w:right w:val="none" w:sz="0" w:space="0" w:color="ffffff"/>
            </w:tcBorders>
            <w:shd w:val="clear" w:color="auto" w:fill="2e7d32"/>
            <w:tcMar>
              <w:top w:w="140" w:type="dxa"/>
              <w:left w:w="140" w:type="dxa"/>
              <w:bottom w:w="140" w:type="dxa"/>
              <w:right w:w="0" w:type="dxa"/>
            </w:tcMar>
          </w:tcPr>
          <w:p>
            <w:pPr>
              <w:pStyle w:val="style0"/>
              <w:rPr/>
            </w:pPr>
          </w:p>
        </w:tc>
        <w:tc>
          <w:tcPr>
            <w:tcW w:w="8960" w:type="dxa"/>
            <w:tcBorders>
              <w:top w:val="none" w:sz="0" w:space="0" w:color="ffffff"/>
              <w:left w:val="none" w:sz="0" w:space="0" w:color="ffffff"/>
              <w:bottom w:val="none" w:sz="0" w:space="0" w:color="ffffff"/>
              <w:right w:val="none" w:sz="0" w:space="0" w:color="ffffff"/>
            </w:tcBorders>
            <w:shd w:val="clear" w:color="auto" w:fill="eaf4eb"/>
            <w:tcMar>
              <w:top w:w="120" w:type="dxa"/>
              <w:left w:w="180" w:type="dxa"/>
              <w:bottom w:w="120" w:type="dxa"/>
              <w:right w:w="180" w:type="dxa"/>
            </w:tcMar>
          </w:tcPr>
          <w:p>
            <w:pPr>
              <w:pStyle w:val="style0"/>
              <w:rPr/>
            </w:pPr>
            <w:r>
              <w:rPr>
                <w:rFonts w:ascii="Arial" w:cs="Arial" w:eastAsia="Arial" w:hAnsi="Arial"/>
                <w:b/>
                <w:bCs/>
                <w:color w:val="2e7d32"/>
                <w:sz w:val="20"/>
                <w:szCs w:val="20"/>
              </w:rPr>
              <w:t>The Single Most Important Finding</w:t>
            </w:r>
          </w:p>
          <w:p>
            <w:pPr>
              <w:pStyle w:val="style0"/>
              <w:spacing w:before="60"/>
              <w:rPr/>
            </w:pPr>
            <w:r>
              <w:rPr>
                <w:rFonts w:ascii="Arial" w:cs="Arial" w:eastAsia="Arial" w:hAnsi="Arial"/>
                <w:color w:val="1a1a1a"/>
                <w:sz w:val="22"/>
                <w:szCs w:val="22"/>
              </w:rPr>
              <w:t>Infrastructure quality (r = -0.81) and collection frequency (r = -0.64) are the two variables that suppress risk most reliably across all 1,000 communities in this dataset. Every other intervention — awareness campaigns, recycling programs, enforcement — amplifies the effect of getting these two things right. None of them substitute for it.</w:t>
            </w:r>
          </w:p>
        </w:tc>
      </w:tr>
    </w:tbl>
    <w:p>
      <w:pPr>
        <w:pStyle w:val="style0"/>
        <w:spacing w:before="60" w:after="60"/>
        <w:rPr/>
      </w:pPr>
    </w:p>
    <w:p>
      <w:pPr>
        <w:pStyle w:val="style0"/>
        <w:spacing w:before="60" w:after="60"/>
        <w:rPr/>
      </w:pPr>
    </w:p>
    <w:p>
      <w:pPr>
        <w:pStyle w:val="style0"/>
        <w:spacing w:before="200" w:after="60"/>
        <w:rPr/>
      </w:pPr>
      <w:r>
        <w:rPr>
          <w:rFonts w:ascii="Arial" w:cs="Arial" w:eastAsia="Arial" w:hAnsi="Arial"/>
          <w:b/>
          <w:bCs/>
          <w:color w:val="1a1a1a"/>
          <w:sz w:val="20"/>
          <w:szCs w:val="20"/>
        </w:rPr>
        <w:t xml:space="preserve">Analyst: </w:t>
      </w:r>
      <w:r>
        <w:rPr>
          <w:rFonts w:ascii="Arial" w:cs="Arial" w:eastAsia="Arial" w:hAnsi="Arial"/>
          <w:color w:val="1a1a1a"/>
          <w:sz w:val="20"/>
          <w:szCs w:val="20"/>
        </w:rPr>
        <w:t>Felicia</w:t>
      </w:r>
    </w:p>
    <w:p>
      <w:pPr>
        <w:pStyle w:val="style0"/>
        <w:spacing w:before="60" w:after="60"/>
        <w:rPr/>
      </w:pPr>
      <w:r>
        <w:rPr>
          <w:rFonts w:ascii="Arial" w:cs="Arial" w:eastAsia="Arial" w:hAnsi="Arial"/>
          <w:b/>
          <w:bCs/>
          <w:color w:val="1a1a1a"/>
          <w:sz w:val="20"/>
          <w:szCs w:val="20"/>
        </w:rPr>
        <w:t xml:space="preserve">Project: </w:t>
      </w:r>
      <w:r>
        <w:rPr>
          <w:rFonts w:ascii="Arial" w:cs="Arial" w:eastAsia="Arial" w:hAnsi="Arial"/>
          <w:color w:val="1a1a1a"/>
          <w:sz w:val="20"/>
          <w:szCs w:val="20"/>
        </w:rPr>
        <w:t>EcoTrack AI Environmental Dashboard</w:t>
      </w:r>
    </w:p>
    <w:p>
      <w:pPr>
        <w:pStyle w:val="style0"/>
        <w:spacing w:before="60" w:after="60"/>
        <w:rPr/>
      </w:pPr>
      <w:r>
        <w:rPr>
          <w:rFonts w:ascii="Arial" w:cs="Arial" w:eastAsia="Arial" w:hAnsi="Arial"/>
          <w:b/>
          <w:bCs/>
          <w:color w:val="1a1a1a"/>
          <w:sz w:val="20"/>
          <w:szCs w:val="20"/>
        </w:rPr>
        <w:t xml:space="preserve">Dataset: </w:t>
      </w:r>
      <w:r>
        <w:rPr>
          <w:rFonts w:ascii="Arial" w:cs="Arial" w:eastAsia="Arial" w:hAnsi="Arial"/>
          <w:color w:val="1a1a1a"/>
          <w:sz w:val="20"/>
          <w:szCs w:val="20"/>
        </w:rPr>
        <w:t>1,000 Urban Nigerian Communities | 12 States | 202</w:t>
      </w:r>
      <w:r>
        <w:rPr>
          <w:rFonts w:ascii="Arial" w:cs="Arial" w:eastAsia="Arial" w:hAnsi="Arial"/>
          <w:color w:val="1a1a1a"/>
          <w:sz w:val="20"/>
          <w:szCs w:val="20"/>
          <w:lang w:val="en-US"/>
        </w:rPr>
        <w:t>2</w:t>
      </w:r>
      <w:r>
        <w:rPr>
          <w:rFonts w:ascii="Arial" w:cs="Arial" w:eastAsia="Arial" w:hAnsi="Arial"/>
          <w:color w:val="1a1a1a"/>
          <w:sz w:val="20"/>
          <w:szCs w:val="20"/>
        </w:rPr>
        <w:t>-2024</w:t>
      </w:r>
    </w:p>
    <w:sectPr>
      <w:headerReference w:type="default" r:id="rId2"/>
      <w:footerReference w:type="default" r:id="rId3"/>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2" w:color="1e5631"/>
      </w:pBdr>
      <w:spacing w:before="100"/>
      <w:rPr/>
    </w:pPr>
    <w:r>
      <w:rPr>
        <w:rFonts w:ascii="Arial" w:cs="Arial" w:eastAsia="Arial" w:hAnsi="Arial"/>
        <w:color w:val="6b7280"/>
        <w:sz w:val="18"/>
        <w:szCs w:val="18"/>
      </w:rPr>
      <w:t xml:space="preserve">Felicia  |  EcoTrack AI  |  Page </w:t>
    </w:r>
    <w:r>
      <w:rPr>
        <w:rFonts w:ascii="Arial" w:cs="Arial" w:eastAsia="Arial" w:hAnsi="Arial"/>
        <w:color w:val="6b7280"/>
        <w:sz w:val="18"/>
        <w:szCs w:val="18"/>
      </w:rPr>
      <w:fldChar w:fldCharType="begin"/>
    </w:r>
    <w:r>
      <w:rPr>
        <w:rFonts w:ascii="Arial" w:cs="Arial" w:eastAsia="Arial" w:hAnsi="Arial"/>
        <w:color w:val="6b7280"/>
        <w:sz w:val="18"/>
        <w:szCs w:val="18"/>
      </w:rPr>
      <w:instrText>PAGE</w:instrText>
    </w:r>
    <w:r>
      <w:rPr>
        <w:rFonts w:ascii="Arial" w:cs="Arial" w:eastAsia="Arial" w:hAnsi="Arial"/>
        <w:color w:val="6b7280"/>
        <w:sz w:val="18"/>
        <w:szCs w:val="18"/>
      </w:rPr>
      <w:fldChar w:fldCharType="separate"/>
    </w:r>
    <w:r>
      <w:rPr>
        <w:rFonts w:ascii="Arial" w:cs="Arial" w:eastAsia="Arial" w:hAnsi="Arial"/>
        <w:color w:val="6b7280"/>
        <w:sz w:val="18"/>
        <w:szCs w:val="18"/>
      </w:rPr>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r>
    <w:r>
      <w:rPr>
        <w:rFonts w:ascii="Arial" w:cs="Arial" w:eastAsia="Arial" w:hAnsi="Arial"/>
        <w:color w:val="6b7280"/>
        <w:sz w:val="18"/>
        <w:szCs w:val="18"/>
      </w:rPr>
      <w:instrText>NUMPAGES</w:instrText>
    </w:r>
    <w:r>
      <w:rPr>
        <w:rFonts w:ascii="Arial" w:cs="Arial" w:eastAsia="Arial" w:hAnsi="Arial"/>
        <w:color w:val="6b7280"/>
        <w:sz w:val="18"/>
        <w:szCs w:val="18"/>
      </w:rPr>
      <w:fldChar w:fldCharType="separate"/>
    </w:r>
    <w:r>
      <w:rPr>
        <w:rFonts w:ascii="Arial" w:cs="Arial" w:eastAsia="Arial" w:hAnsi="Arial"/>
        <w:color w:val="6b7280"/>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2" w:color="1e5631"/>
      </w:pBdr>
      <w:spacing w:after="100"/>
      <w:rPr/>
    </w:pPr>
    <w:r>
      <w:rPr>
        <w:rFonts w:ascii="Arial" w:cs="Arial" w:eastAsia="Arial" w:hAnsi="Arial"/>
        <w:color w:val="6b7280"/>
        <w:sz w:val="18"/>
        <w:szCs w:val="18"/>
      </w:rPr>
      <w:t>EcoTrack AI  |  Insights &amp; Recommendations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rPr>
        <w:rFonts w:ascii="Arial" w:cs="Arial" w:eastAsia="Arial" w:hAnsi="Arial"/>
        <w:color w:val="1a1a1a"/>
        <w:sz w:val="22"/>
        <w:szCs w:val="22"/>
      </w:rPr>
    </w:lvl>
  </w:abstractNum>
  <w:abstractNum w:abstractNumId="2">
    <w:nsid w:val="00000002"/>
    <w:multiLevelType w:val="hybridMultilevel"/>
    <w:tmpl w:val="FFFFFFFF"/>
    <w:lvl w:ilvl="0" w:tentative="1">
      <w:start w:val="1"/>
      <w:numFmt w:val="decimal"/>
      <w:lvlText w:val="%1."/>
      <w:lvlJc w:val="left"/>
      <w:pPr>
        <w:ind w:left="720" w:hanging="360"/>
      </w:pPr>
      <w:rPr>
        <w:rFonts w:ascii="Arial" w:cs="Arial" w:eastAsia="Arial" w:hAnsi="Arial"/>
        <w:color w:val="1a1a1a"/>
        <w:sz w:val="22"/>
        <w:szCs w:val="22"/>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color w:val="1a1a1a"/>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400" w:after="200"/>
      <w:outlineLvl w:val="0"/>
    </w:pPr>
    <w:rPr>
      <w:rFonts w:ascii="Arial" w:cs="Arial" w:eastAsia="Arial" w:hAnsi="Arial"/>
      <w:b/>
      <w:bCs/>
      <w:color w:val="ffffff"/>
      <w:sz w:val="36"/>
      <w:szCs w:val="36"/>
    </w:rPr>
  </w:style>
  <w:style w:type="paragraph" w:customStyle="1" w:styleId="style4098">
    <w:name w:val="Heading 2"/>
    <w:next w:val="style4098"/>
    <w:qFormat/>
    <w:pPr>
      <w:spacing w:before="320" w:after="120"/>
      <w:outlineLvl w:val="1"/>
    </w:pPr>
    <w:rPr>
      <w:rFonts w:ascii="Arial" w:cs="Arial" w:eastAsia="Arial" w:hAnsi="Arial"/>
      <w:b/>
      <w:bCs/>
      <w:color w:val="1e5631"/>
      <w:sz w:val="28"/>
      <w:szCs w:val="28"/>
    </w:rPr>
  </w:style>
  <w:style w:type="paragraph" w:customStyle="1" w:styleId="style4099">
    <w:name w:val="Heading 3"/>
    <w:next w:val="style4099"/>
    <w:qFormat/>
    <w:pPr>
      <w:spacing w:before="240" w:after="100"/>
      <w:outlineLvl w:val="2"/>
    </w:pPr>
    <w:rPr>
      <w:rFonts w:ascii="Arial" w:cs="Arial" w:eastAsia="Arial" w:hAnsi="Arial"/>
      <w:b/>
      <w:bCs/>
      <w:color w:val="2e7d82"/>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86b56817-c6c9-4cc0-bb13-cc8c533d35b9"/>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2548</Words>
  <Characters>14870</Characters>
  <Application>WPS Office</Application>
  <Paragraphs>383</Paragraphs>
  <CharactersWithSpaces>17221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2026-06-20T17:18:15Z</dcterms:created>
  <dc:creator>Un-named</dc:creator>
  <lastModifiedBy>2409BRN2CG</lastModifiedBy>
  <dcterms:modified xsi:type="dcterms:W3CDTF">2026-06-23T12:14:27Z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6e4e61eb76294545ba6ec511aef46695</vt:lpwstr>
  </property>
</Properties>
</file>