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18E1"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51A1478E" w14:textId="77777777" w:rsidR="00935C57" w:rsidRPr="006C2C0F" w:rsidRDefault="005E41BA" w:rsidP="00B637BC">
      <w:pPr>
        <w:pStyle w:val="article-info"/>
      </w:pPr>
      <w:r w:rsidRPr="006C2C0F">
        <w:t>d</w:t>
      </w:r>
      <w:r w:rsidR="00806CED" w:rsidRPr="006C2C0F">
        <w:t>oi: 10.1093/bioinformatics/xxxxx</w:t>
      </w:r>
    </w:p>
    <w:p w14:paraId="3342E7EE" w14:textId="77777777" w:rsidR="005E41BA" w:rsidRPr="006C2C0F" w:rsidRDefault="005E41BA" w:rsidP="00B637BC">
      <w:pPr>
        <w:pStyle w:val="article-info"/>
      </w:pPr>
      <w:r w:rsidRPr="006C2C0F">
        <w:t>Advance Access Publication Date: DD Month YYYY</w:t>
      </w:r>
    </w:p>
    <w:p w14:paraId="28C86B08" w14:textId="77777777" w:rsidR="006C2C0F" w:rsidRPr="006C2C0F" w:rsidRDefault="006C2C0F" w:rsidP="00B637BC">
      <w:pPr>
        <w:pStyle w:val="article-info"/>
      </w:pPr>
      <w:r w:rsidRPr="006C2C0F">
        <w:t xml:space="preserve">Manuscript </w:t>
      </w:r>
      <w:r w:rsidR="003A4127">
        <w:t>Category</w:t>
      </w:r>
    </w:p>
    <w:p w14:paraId="2BBED605"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115F355" w14:textId="77777777" w:rsidTr="00F137B5">
        <w:tc>
          <w:tcPr>
            <w:tcW w:w="8320" w:type="dxa"/>
          </w:tcPr>
          <w:p w14:paraId="53253590" w14:textId="77777777" w:rsidR="00CC64E3" w:rsidRPr="00F362A7" w:rsidRDefault="003A4127" w:rsidP="00435193">
            <w:pPr>
              <w:pStyle w:val="Subtitle"/>
            </w:pPr>
            <w:r>
              <w:t xml:space="preserve">Subject </w:t>
            </w:r>
            <w:r w:rsidRPr="00435193">
              <w:t>Section</w:t>
            </w:r>
          </w:p>
          <w:p w14:paraId="5584B48C" w14:textId="77777777" w:rsidR="00CC64E3" w:rsidRPr="00F362A7" w:rsidRDefault="00CC64E3" w:rsidP="00435193">
            <w:pPr>
              <w:pStyle w:val="Title"/>
            </w:pPr>
            <w:r w:rsidRPr="00435193">
              <w:t>Manuscript</w:t>
            </w:r>
            <w:r w:rsidRPr="00F362A7">
              <w:t xml:space="preserve"> Title</w:t>
            </w:r>
          </w:p>
          <w:p w14:paraId="5F0F3387" w14:textId="77777777" w:rsidR="00CC64E3" w:rsidRPr="00F362A7" w:rsidRDefault="00CC64E3" w:rsidP="00513FFC">
            <w:pPr>
              <w:pStyle w:val="Author-Group"/>
            </w:pPr>
            <w:r w:rsidRPr="00F362A7">
              <w:t>Co</w:t>
            </w:r>
            <w:r w:rsidR="00801742">
              <w:t>r</w:t>
            </w:r>
            <w:r w:rsidRPr="00F362A7">
              <w:t>responding Author</w:t>
            </w:r>
            <w:r w:rsidRPr="00F362A7">
              <w:rPr>
                <w:vertAlign w:val="superscript"/>
              </w:rPr>
              <w:t>1,</w:t>
            </w:r>
            <w:r w:rsidRPr="00F362A7">
              <w:rPr>
                <w:rFonts w:ascii="Times New Roman" w:hAnsi="Times New Roman"/>
                <w:vertAlign w:val="superscript"/>
              </w:rPr>
              <w:t>*</w:t>
            </w:r>
            <w:r w:rsidRPr="00F362A7">
              <w:t>, Co-author</w:t>
            </w:r>
            <w:r w:rsidRPr="00F362A7">
              <w:rPr>
                <w:vertAlign w:val="superscript"/>
              </w:rPr>
              <w:t>2</w:t>
            </w:r>
            <w:r w:rsidRPr="00F362A7">
              <w:t xml:space="preserve"> and Co-Author</w:t>
            </w:r>
            <w:r w:rsidRPr="00F362A7">
              <w:rPr>
                <w:vertAlign w:val="superscript"/>
              </w:rPr>
              <w:t>2</w:t>
            </w:r>
          </w:p>
          <w:p w14:paraId="6538A59F"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4936ADF6" w14:textId="77777777" w:rsidR="00CC64E3" w:rsidRPr="00D65C51" w:rsidRDefault="00CC64E3" w:rsidP="002F4CA8">
            <w:pPr>
              <w:pStyle w:val="corrs-au"/>
            </w:pPr>
            <w:r w:rsidRPr="00D65C51">
              <w:t>*To whom correspondence should be addressed.</w:t>
            </w:r>
          </w:p>
          <w:p w14:paraId="51BC911B" w14:textId="77777777" w:rsidR="00CC64E3" w:rsidRPr="00D65C51" w:rsidRDefault="00CC64E3" w:rsidP="002F4CA8">
            <w:pPr>
              <w:pStyle w:val="corrs-au"/>
            </w:pPr>
            <w:r w:rsidRPr="00D65C51">
              <w:t>Associate Editor: XXXXXXX</w:t>
            </w:r>
          </w:p>
          <w:p w14:paraId="4A179160"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0530DE2E" w14:textId="77777777" w:rsidR="00CC64E3" w:rsidRPr="00C4341F" w:rsidRDefault="00CC64E3" w:rsidP="00A5432A">
            <w:pPr>
              <w:pStyle w:val="Abstract-Head"/>
            </w:pPr>
            <w:r w:rsidRPr="00C4341F">
              <w:t>Abstract</w:t>
            </w:r>
          </w:p>
          <w:p w14:paraId="3EC83712" w14:textId="77777777"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21F57566" w14:textId="77777777"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60A584F2" w14:textId="77777777"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14:paraId="48EA2F46"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14:paraId="5B2477D4"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6224CC42" w14:textId="77777777" w:rsidR="002C783E" w:rsidRDefault="002C783E">
      <w:pPr>
        <w:pStyle w:val="AbstractHead"/>
        <w:spacing w:line="14" w:lineRule="exact"/>
      </w:pPr>
    </w:p>
    <w:p w14:paraId="38BCEBA6" w14:textId="77777777" w:rsidR="00400C63" w:rsidRDefault="00400C63">
      <w:pPr>
        <w:pStyle w:val="AbstractHead"/>
        <w:spacing w:line="14" w:lineRule="exact"/>
      </w:pPr>
    </w:p>
    <w:p w14:paraId="42A919D1"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6C5050F2" w14:textId="77777777" w:rsidR="00D83B8A" w:rsidRPr="00F4766C" w:rsidRDefault="00952599" w:rsidP="001A0125">
      <w:pPr>
        <w:pStyle w:val="Heading1"/>
      </w:pPr>
      <w:r w:rsidRPr="00F4766C">
        <w:t xml:space="preserve">Introduction </w:t>
      </w:r>
    </w:p>
    <w:p w14:paraId="603E54F0" w14:textId="77777777" w:rsidR="00D83B8A" w:rsidRPr="00F4766C" w:rsidRDefault="00D83B8A" w:rsidP="004E0596">
      <w:pPr>
        <w:pStyle w:val="para-first"/>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24D734C" w14:textId="77777777" w:rsidR="00D83B8A" w:rsidRPr="00F4766C" w:rsidRDefault="00D83B8A" w:rsidP="004E0596">
      <w:pPr>
        <w:pStyle w:val="para1"/>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rsidRPr="00F4766C">
        <w:t xml:space="preserve">wn fox jumps over the lazy dog. </w:t>
      </w: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9A3330" w:rsidRPr="00F4766C">
        <w:t xml:space="preserve">.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004D0AF9" w14:textId="77777777" w:rsidR="00D83B8A" w:rsidRDefault="004E13A5" w:rsidP="001A0125">
      <w:pPr>
        <w:pStyle w:val="Heading1"/>
      </w:pPr>
      <w:r w:rsidRPr="001A0125">
        <w:t>Methods</w:t>
      </w:r>
    </w:p>
    <w:p w14:paraId="26AA9633"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4E13A5">
        <w:lastRenderedPageBreak/>
        <w:t xml:space="preserve">The quick brown fox jumps over the lazy dog. The quick brown fox jumps over the lazy dog. The quick brown fox jumps over the lazy dog. </w:t>
      </w:r>
    </w:p>
    <w:p w14:paraId="7950EEA7" w14:textId="77777777" w:rsidR="00D83B8A" w:rsidRPr="004E13A5"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30E079E0" w14:textId="77777777" w:rsidR="00D83B8A" w:rsidRDefault="00EF5D71" w:rsidP="001A0125">
      <w:pPr>
        <w:pStyle w:val="Heading1"/>
      </w:pPr>
      <w:r>
        <w:t>R</w:t>
      </w:r>
      <w:r w:rsidR="00D83B8A">
        <w:t>esults</w:t>
      </w:r>
    </w:p>
    <w:p w14:paraId="2EB04DEF"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3CAA8F35" w14:textId="77777777" w:rsidR="00D83B8A" w:rsidRPr="00584A70" w:rsidRDefault="00D83B8A" w:rsidP="00A7074F">
      <w:pPr>
        <w:pStyle w:val="Heading2"/>
      </w:pPr>
      <w:r w:rsidRPr="00584A70">
        <w:t xml:space="preserve">Data </w:t>
      </w:r>
      <w:r w:rsidRPr="00405022">
        <w:t>Structure</w:t>
      </w:r>
      <w:r w:rsidRPr="00584A70">
        <w:t xml:space="preserve"> This is Heading 2 style this is heading 2 style</w:t>
      </w:r>
    </w:p>
    <w:p w14:paraId="7644C5BC" w14:textId="77777777"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4762A333" w14:textId="77777777"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14:paraId="2E1BB691" w14:textId="77777777"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14:paraId="7837A6BF" w14:textId="77777777"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14:paraId="0A04F7EF" w14:textId="77777777"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14:paraId="7BA839C0" w14:textId="77777777" w:rsidR="002000FF" w:rsidRPr="00473EDA" w:rsidRDefault="002000FF">
      <w:pPr>
        <w:pStyle w:val="NumberedList"/>
        <w:rPr>
          <w:sz w:val="16"/>
          <w:szCs w:val="16"/>
        </w:rPr>
      </w:pPr>
      <w:r w:rsidRPr="00473EDA">
        <w:rPr>
          <w:sz w:val="16"/>
          <w:szCs w:val="16"/>
        </w:rPr>
        <w:t>The quick brown fox jumps over the lazy dog.</w:t>
      </w:r>
    </w:p>
    <w:p w14:paraId="7FBC8836"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7EC27D6B"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0652712E" w14:textId="77777777"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14:paraId="23CC9634"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7AAB0DF9" w14:textId="77777777"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14:paraId="0F43F56F"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3D2B4D0F"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413818F5"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2022470C" w14:textId="77777777"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14:paraId="5E0C5B3E"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1B154918" w14:textId="77777777" w:rsidR="00D83B8A" w:rsidRPr="00473EDA" w:rsidRDefault="00D83B8A" w:rsidP="00A7074F">
      <w:pPr>
        <w:pStyle w:val="Heading2"/>
      </w:pPr>
      <w:r w:rsidRPr="00473EDA">
        <w:t>Unnumbered list style</w:t>
      </w:r>
    </w:p>
    <w:p w14:paraId="1AA1E2F5"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4F8C7E2F" w14:textId="77777777"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14:paraId="5BD1BF38"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18A1A1A3"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0BC298F9"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4373491F" w14:textId="77777777"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14:paraId="38C8FABC" w14:textId="77777777" w:rsidR="00D83B8A" w:rsidRDefault="00D83B8A">
      <w:pPr>
        <w:pStyle w:val="EquationDisplay"/>
        <w:spacing w:before="140" w:after="140"/>
      </w:pPr>
      <w:r>
        <w:tab/>
      </w:r>
      <w:r w:rsidR="00746571" w:rsidRPr="00EC5ED4">
        <w:rPr>
          <w:noProof/>
          <w:position w:val="-24"/>
        </w:rPr>
        <w:object w:dxaOrig="1380" w:dyaOrig="560" w14:anchorId="7B332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8.5pt;height:28.1pt;mso-width-percent:0;mso-height-percent:0;mso-width-percent:0;mso-height-percent:0" o:ole="">
            <v:imagedata r:id="rId10" o:title=""/>
          </v:shape>
          <o:OLEObject Type="Embed" ProgID="Equation.DSMT4" ShapeID="_x0000_i1025" DrawAspect="Content" ObjectID="_1740675705" r:id="rId11"/>
        </w:object>
      </w:r>
      <w:r>
        <w:tab/>
        <w:t>(1)</w:t>
      </w:r>
    </w:p>
    <w:p w14:paraId="1147DB49" w14:textId="77777777"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14:paraId="0CB442F5" w14:textId="77777777" w:rsidR="00D83B8A" w:rsidRPr="00BE5EE2" w:rsidRDefault="00746571" w:rsidP="00341B9C">
      <w:pPr>
        <w:pStyle w:val="FigureCaption"/>
        <w:spacing w:after="360"/>
        <w:rPr>
          <w:sz w:val="13"/>
          <w:szCs w:val="13"/>
        </w:rPr>
      </w:pPr>
      <w:r>
        <w:rPr>
          <w:b/>
          <w:bCs/>
          <w:noProof/>
          <w:szCs w:val="16"/>
        </w:rPr>
        <w:lastRenderedPageBreak/>
        <w:pict w14:anchorId="64A36583">
          <v:shapetype id="_x0000_t202" coordsize="21600,21600" o:spt="202" path="m,l,21600r21600,l21600,xe">
            <v:stroke joinstyle="miter"/>
            <v:path gradientshapeok="t" o:connecttype="rect"/>
          </v:shapetype>
          <v:shape id="_x0000_s2050" type="#_x0000_t202" alt="" style="position:absolute;left:0;text-align:left;margin-left:2.4pt;margin-top:4.65pt;width:228.85pt;height:153.5pt;z-index:251657728;mso-wrap-style:square;mso-wrap-edited:f;mso-width-percent:0;mso-height-percent:0;mso-position-vertical-relative:margin;mso-width-percent:0;mso-height-percent:0;v-text-anchor:top" o:allowoverlap="f" filled="f" strokeweight=".25pt">
            <v:textbox style="mso-next-textbox:#_x0000_s2050" inset="0,0,0,0">
              <w:txbxContent>
                <w:p w14:paraId="38467091" w14:textId="77777777" w:rsidR="00DD38F7" w:rsidRDefault="00DD38F7"/>
              </w:txbxContent>
            </v:textbox>
            <w10:wrap type="topAndBottom" anchory="margin"/>
          </v:shape>
        </w:pic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14:paraId="7A7976C2" w14:textId="77777777"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20CDF4CD"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18352DEC"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14:paraId="4B2F7B38"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88"/>
        <w:gridCol w:w="1666"/>
        <w:gridCol w:w="788"/>
        <w:gridCol w:w="1146"/>
        <w:gridCol w:w="414"/>
      </w:tblGrid>
      <w:tr w:rsidR="00D83B8A" w14:paraId="517B1478" w14:textId="77777777">
        <w:tc>
          <w:tcPr>
            <w:tcW w:w="740" w:type="dxa"/>
            <w:tcBorders>
              <w:top w:val="single" w:sz="4" w:space="0" w:color="auto"/>
              <w:bottom w:val="single" w:sz="4" w:space="0" w:color="auto"/>
            </w:tcBorders>
          </w:tcPr>
          <w:p w14:paraId="7796EDEE" w14:textId="77777777" w:rsidR="00D83B8A" w:rsidRDefault="00D83B8A">
            <w:pPr>
              <w:pStyle w:val="TableColumnhead"/>
            </w:pPr>
            <w:r>
              <w:t>|S|</w:t>
            </w:r>
          </w:p>
        </w:tc>
        <w:tc>
          <w:tcPr>
            <w:tcW w:w="1704" w:type="dxa"/>
            <w:tcBorders>
              <w:top w:val="single" w:sz="4" w:space="0" w:color="auto"/>
              <w:bottom w:val="single" w:sz="4" w:space="0" w:color="auto"/>
            </w:tcBorders>
          </w:tcPr>
          <w:p w14:paraId="7432B473" w14:textId="77777777" w:rsidR="00D83B8A" w:rsidRDefault="00D83B8A">
            <w:pPr>
              <w:pStyle w:val="TableColumnhead"/>
            </w:pPr>
            <w:r>
              <w:t>Predicted cost</w:t>
            </w:r>
          </w:p>
        </w:tc>
        <w:tc>
          <w:tcPr>
            <w:tcW w:w="816" w:type="dxa"/>
            <w:tcBorders>
              <w:top w:val="single" w:sz="4" w:space="0" w:color="auto"/>
              <w:bottom w:val="single" w:sz="4" w:space="0" w:color="auto"/>
            </w:tcBorders>
          </w:tcPr>
          <w:p w14:paraId="58419CAF" w14:textId="77777777" w:rsidR="00D83B8A" w:rsidRDefault="00D83B8A">
            <w:pPr>
              <w:pStyle w:val="TableColumnhead"/>
            </w:pPr>
            <w:r>
              <w:t>Timing</w:t>
            </w:r>
          </w:p>
        </w:tc>
        <w:tc>
          <w:tcPr>
            <w:tcW w:w="1200" w:type="dxa"/>
            <w:tcBorders>
              <w:top w:val="single" w:sz="4" w:space="0" w:color="auto"/>
              <w:bottom w:val="single" w:sz="4" w:space="0" w:color="auto"/>
            </w:tcBorders>
          </w:tcPr>
          <w:p w14:paraId="6824B79E"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63A524A1" w14:textId="77777777" w:rsidR="00D83B8A" w:rsidRDefault="00D83B8A">
            <w:pPr>
              <w:pStyle w:val="TableColumnhead"/>
            </w:pPr>
            <w:r>
              <w:t>Speed</w:t>
            </w:r>
          </w:p>
        </w:tc>
      </w:tr>
      <w:tr w:rsidR="00D83B8A" w14:paraId="6E118B50" w14:textId="77777777">
        <w:tc>
          <w:tcPr>
            <w:tcW w:w="740" w:type="dxa"/>
            <w:tcBorders>
              <w:top w:val="single" w:sz="4" w:space="0" w:color="auto"/>
            </w:tcBorders>
          </w:tcPr>
          <w:p w14:paraId="79CD3394" w14:textId="77777777" w:rsidR="00D83B8A" w:rsidRDefault="00D83B8A">
            <w:pPr>
              <w:pStyle w:val="Tablebodyfirst"/>
            </w:pPr>
            <w:r>
              <w:t xml:space="preserve">  1</w:t>
            </w:r>
          </w:p>
        </w:tc>
        <w:tc>
          <w:tcPr>
            <w:tcW w:w="1704" w:type="dxa"/>
            <w:tcBorders>
              <w:top w:val="single" w:sz="4" w:space="0" w:color="auto"/>
            </w:tcBorders>
          </w:tcPr>
          <w:p w14:paraId="5040BBDC" w14:textId="77777777" w:rsidR="00D83B8A" w:rsidRDefault="00D83B8A">
            <w:pPr>
              <w:pStyle w:val="Tablebodyfirst"/>
            </w:pPr>
            <w:r>
              <w:t>S219.20(100%)</w:t>
            </w:r>
          </w:p>
        </w:tc>
        <w:tc>
          <w:tcPr>
            <w:tcW w:w="816" w:type="dxa"/>
            <w:tcBorders>
              <w:top w:val="single" w:sz="4" w:space="0" w:color="auto"/>
            </w:tcBorders>
          </w:tcPr>
          <w:p w14:paraId="5E73D3F1" w14:textId="77777777" w:rsidR="00D83B8A" w:rsidRDefault="00D83B8A">
            <w:pPr>
              <w:pStyle w:val="Tablebodyfirst"/>
            </w:pPr>
            <w:r>
              <w:t>68m43s</w:t>
            </w:r>
          </w:p>
        </w:tc>
        <w:tc>
          <w:tcPr>
            <w:tcW w:w="1200" w:type="dxa"/>
            <w:tcBorders>
              <w:top w:val="single" w:sz="4" w:space="0" w:color="auto"/>
            </w:tcBorders>
          </w:tcPr>
          <w:p w14:paraId="1C96A968" w14:textId="77777777" w:rsidR="00D83B8A" w:rsidRDefault="00D83B8A">
            <w:pPr>
              <w:pStyle w:val="Tablebodyfirst"/>
            </w:pPr>
            <w:r>
              <w:t>1.00</w:t>
            </w:r>
          </w:p>
        </w:tc>
        <w:tc>
          <w:tcPr>
            <w:tcW w:w="416" w:type="dxa"/>
            <w:tcBorders>
              <w:top w:val="single" w:sz="4" w:space="0" w:color="auto"/>
            </w:tcBorders>
          </w:tcPr>
          <w:p w14:paraId="5AEDC0FD" w14:textId="77777777" w:rsidR="00D83B8A" w:rsidRDefault="00D83B8A">
            <w:pPr>
              <w:pStyle w:val="Tablebodyfirst"/>
            </w:pPr>
            <w:r>
              <w:t>1.00</w:t>
            </w:r>
          </w:p>
        </w:tc>
      </w:tr>
      <w:tr w:rsidR="00D83B8A" w14:paraId="2F258CF7" w14:textId="77777777">
        <w:tc>
          <w:tcPr>
            <w:tcW w:w="740" w:type="dxa"/>
          </w:tcPr>
          <w:p w14:paraId="321A815C" w14:textId="77777777" w:rsidR="00D83B8A" w:rsidRDefault="00D83B8A">
            <w:pPr>
              <w:pStyle w:val="Tablebody"/>
            </w:pPr>
            <w:r>
              <w:t xml:space="preserve">  2</w:t>
            </w:r>
          </w:p>
        </w:tc>
        <w:tc>
          <w:tcPr>
            <w:tcW w:w="1704" w:type="dxa"/>
          </w:tcPr>
          <w:p w14:paraId="3DE185A8"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0FD152B4" w14:textId="77777777" w:rsidR="00D83B8A" w:rsidRDefault="00D83B8A">
            <w:pPr>
              <w:pStyle w:val="Tablebody"/>
            </w:pPr>
            <w:r>
              <w:t>35m13s</w:t>
            </w:r>
          </w:p>
        </w:tc>
        <w:tc>
          <w:tcPr>
            <w:tcW w:w="1200" w:type="dxa"/>
          </w:tcPr>
          <w:p w14:paraId="6C5E809B" w14:textId="77777777" w:rsidR="00D83B8A" w:rsidRDefault="00D83B8A">
            <w:pPr>
              <w:pStyle w:val="Tablebody"/>
            </w:pPr>
            <w:r>
              <w:t>2.00</w:t>
            </w:r>
          </w:p>
        </w:tc>
        <w:tc>
          <w:tcPr>
            <w:tcW w:w="416" w:type="dxa"/>
          </w:tcPr>
          <w:p w14:paraId="0078A383" w14:textId="77777777" w:rsidR="00D83B8A" w:rsidRDefault="00D83B8A">
            <w:pPr>
              <w:pStyle w:val="Tablebody"/>
            </w:pPr>
            <w:r>
              <w:t>1.95</w:t>
            </w:r>
          </w:p>
        </w:tc>
      </w:tr>
      <w:tr w:rsidR="00D83B8A" w14:paraId="1933B2E0" w14:textId="77777777">
        <w:tc>
          <w:tcPr>
            <w:tcW w:w="740" w:type="dxa"/>
          </w:tcPr>
          <w:p w14:paraId="4E9DB84C" w14:textId="77777777" w:rsidR="00D83B8A" w:rsidRDefault="00D83B8A">
            <w:pPr>
              <w:pStyle w:val="Tablebody"/>
            </w:pPr>
            <w:r>
              <w:t xml:space="preserve">  4</w:t>
            </w:r>
          </w:p>
        </w:tc>
        <w:tc>
          <w:tcPr>
            <w:tcW w:w="1704" w:type="dxa"/>
          </w:tcPr>
          <w:p w14:paraId="13B4156A" w14:textId="77777777" w:rsidR="00D83B8A" w:rsidRDefault="00D83B8A">
            <w:pPr>
              <w:pStyle w:val="Tablebody"/>
            </w:pPr>
            <w:r>
              <w:t>2</w:t>
            </w:r>
            <w:r>
              <w:rPr>
                <w:vertAlign w:val="superscript"/>
              </w:rPr>
              <w:t>19</w:t>
            </w:r>
            <w:r>
              <w:t>.20(100%)</w:t>
            </w:r>
          </w:p>
        </w:tc>
        <w:tc>
          <w:tcPr>
            <w:tcW w:w="816" w:type="dxa"/>
          </w:tcPr>
          <w:p w14:paraId="7EA63E8C" w14:textId="77777777" w:rsidR="00D83B8A" w:rsidRDefault="00D83B8A">
            <w:pPr>
              <w:pStyle w:val="Tablebody"/>
            </w:pPr>
            <w:r>
              <w:t>68m43s</w:t>
            </w:r>
          </w:p>
        </w:tc>
        <w:tc>
          <w:tcPr>
            <w:tcW w:w="1200" w:type="dxa"/>
          </w:tcPr>
          <w:p w14:paraId="4ABA8628" w14:textId="77777777" w:rsidR="00D83B8A" w:rsidRDefault="00D83B8A">
            <w:pPr>
              <w:pStyle w:val="Tablebody"/>
            </w:pPr>
            <w:r>
              <w:t>1.00</w:t>
            </w:r>
          </w:p>
        </w:tc>
        <w:tc>
          <w:tcPr>
            <w:tcW w:w="416" w:type="dxa"/>
          </w:tcPr>
          <w:p w14:paraId="70B98BC3" w14:textId="77777777" w:rsidR="00D83B8A" w:rsidRDefault="00D83B8A">
            <w:pPr>
              <w:pStyle w:val="Tablebody"/>
            </w:pPr>
            <w:r>
              <w:t>1.00</w:t>
            </w:r>
          </w:p>
        </w:tc>
      </w:tr>
      <w:tr w:rsidR="00D83B8A" w14:paraId="73ED4CE1" w14:textId="77777777">
        <w:tc>
          <w:tcPr>
            <w:tcW w:w="740" w:type="dxa"/>
          </w:tcPr>
          <w:p w14:paraId="6F61F8BD" w14:textId="77777777" w:rsidR="00D83B8A" w:rsidRDefault="00D83B8A">
            <w:pPr>
              <w:pStyle w:val="Tablebody"/>
            </w:pPr>
            <w:r>
              <w:t>10</w:t>
            </w:r>
          </w:p>
        </w:tc>
        <w:tc>
          <w:tcPr>
            <w:tcW w:w="1704" w:type="dxa"/>
          </w:tcPr>
          <w:p w14:paraId="1C9061CC"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6A04A1C1" w14:textId="77777777" w:rsidR="00D83B8A" w:rsidRDefault="00D83B8A">
            <w:pPr>
              <w:pStyle w:val="Tablebody"/>
            </w:pPr>
            <w:r>
              <w:t>35m13s</w:t>
            </w:r>
          </w:p>
        </w:tc>
        <w:tc>
          <w:tcPr>
            <w:tcW w:w="1200" w:type="dxa"/>
          </w:tcPr>
          <w:p w14:paraId="4EBE505D" w14:textId="77777777" w:rsidR="00D83B8A" w:rsidRDefault="00D83B8A">
            <w:pPr>
              <w:pStyle w:val="Tablebody"/>
            </w:pPr>
            <w:r>
              <w:t>2.00</w:t>
            </w:r>
          </w:p>
        </w:tc>
        <w:tc>
          <w:tcPr>
            <w:tcW w:w="416" w:type="dxa"/>
          </w:tcPr>
          <w:p w14:paraId="761DE529" w14:textId="77777777" w:rsidR="00D83B8A" w:rsidRDefault="00D83B8A">
            <w:pPr>
              <w:pStyle w:val="Tablebody"/>
            </w:pPr>
            <w:r>
              <w:t>1.95</w:t>
            </w:r>
          </w:p>
        </w:tc>
      </w:tr>
      <w:tr w:rsidR="00D83B8A" w14:paraId="61E69542" w14:textId="77777777">
        <w:tc>
          <w:tcPr>
            <w:tcW w:w="740" w:type="dxa"/>
            <w:tcBorders>
              <w:bottom w:val="single" w:sz="4" w:space="0" w:color="auto"/>
            </w:tcBorders>
          </w:tcPr>
          <w:p w14:paraId="71AB3EA9" w14:textId="77777777" w:rsidR="00D83B8A" w:rsidRDefault="00D83B8A">
            <w:pPr>
              <w:pStyle w:val="Tablebodylast"/>
            </w:pPr>
            <w:r>
              <w:t>20</w:t>
            </w:r>
          </w:p>
        </w:tc>
        <w:tc>
          <w:tcPr>
            <w:tcW w:w="1704" w:type="dxa"/>
            <w:tcBorders>
              <w:bottom w:val="single" w:sz="4" w:space="0" w:color="auto"/>
            </w:tcBorders>
          </w:tcPr>
          <w:p w14:paraId="518FBB06"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1206C919" w14:textId="77777777" w:rsidR="00D83B8A" w:rsidRDefault="00D83B8A">
            <w:pPr>
              <w:pStyle w:val="Tablebodylast"/>
            </w:pPr>
            <w:r>
              <w:t>68m43s</w:t>
            </w:r>
          </w:p>
        </w:tc>
        <w:tc>
          <w:tcPr>
            <w:tcW w:w="1200" w:type="dxa"/>
            <w:tcBorders>
              <w:bottom w:val="single" w:sz="4" w:space="0" w:color="auto"/>
            </w:tcBorders>
          </w:tcPr>
          <w:p w14:paraId="295D777C" w14:textId="77777777" w:rsidR="00D83B8A" w:rsidRDefault="00D83B8A">
            <w:pPr>
              <w:pStyle w:val="Tablebodylast"/>
            </w:pPr>
            <w:r>
              <w:t>1.00</w:t>
            </w:r>
          </w:p>
        </w:tc>
        <w:tc>
          <w:tcPr>
            <w:tcW w:w="416" w:type="dxa"/>
            <w:tcBorders>
              <w:bottom w:val="single" w:sz="4" w:space="0" w:color="auto"/>
            </w:tcBorders>
          </w:tcPr>
          <w:p w14:paraId="01BD9AC1" w14:textId="77777777" w:rsidR="00D83B8A" w:rsidRDefault="00D83B8A">
            <w:pPr>
              <w:pStyle w:val="Tablebodylast"/>
            </w:pPr>
            <w:r>
              <w:t>9.5</w:t>
            </w:r>
          </w:p>
        </w:tc>
      </w:tr>
    </w:tbl>
    <w:p w14:paraId="65F8F931" w14:textId="77777777" w:rsidR="00D83B8A" w:rsidRDefault="00D83B8A">
      <w:pPr>
        <w:pStyle w:val="Tablefootnote"/>
        <w:spacing w:after="140"/>
      </w:pPr>
      <w:r>
        <w:t>This is table foot note sample text This is table foot note sample text This is table foot note sample text</w:t>
      </w:r>
    </w:p>
    <w:p w14:paraId="1B7CB315" w14:textId="77777777" w:rsidR="00D83B8A" w:rsidRPr="00366351" w:rsidRDefault="00D83B8A">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14:paraId="19EEDDC9" w14:textId="77777777" w:rsidR="001A5509" w:rsidRDefault="00643190" w:rsidP="001A0125">
      <w:pPr>
        <w:pStyle w:val="AckHead"/>
      </w:pPr>
      <w:r>
        <w:t>A</w:t>
      </w:r>
      <w:r w:rsidR="001A5509">
        <w:t>cknowledgements</w:t>
      </w:r>
    </w:p>
    <w:p w14:paraId="7BBF217C" w14:textId="77777777"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6E749E76" w14:textId="77777777" w:rsidR="00366351" w:rsidRPr="00366351" w:rsidRDefault="00CD55D8" w:rsidP="001A0125">
      <w:pPr>
        <w:pStyle w:val="RefHead"/>
        <w:rPr>
          <w:caps/>
        </w:rPr>
      </w:pPr>
      <w:r w:rsidRPr="00366351">
        <w:t>Funding</w:t>
      </w:r>
    </w:p>
    <w:p w14:paraId="0AEFFDFF" w14:textId="77777777"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14:paraId="33EFCD1F" w14:textId="77777777" w:rsidR="005806E7" w:rsidRDefault="005806E7" w:rsidP="00CD55D8">
      <w:pPr>
        <w:pStyle w:val="AckText"/>
        <w:rPr>
          <w:rFonts w:ascii="AdvPSSAB-R" w:hAnsi="AdvPSSAB-R" w:cs="AdvPSSAB-R"/>
          <w:sz w:val="14"/>
          <w:szCs w:val="14"/>
          <w:lang w:val="en-GB" w:eastAsia="en-IN"/>
        </w:rPr>
      </w:pPr>
    </w:p>
    <w:p w14:paraId="119CDB8E"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499FA064" w14:textId="77777777" w:rsidR="00D83B8A" w:rsidRPr="00366351" w:rsidRDefault="00366351" w:rsidP="001A0125">
      <w:pPr>
        <w:pStyle w:val="RefHead"/>
      </w:pPr>
      <w:r w:rsidRPr="00366351">
        <w:t>References</w:t>
      </w:r>
    </w:p>
    <w:p w14:paraId="0BD8F2F3" w14:textId="77777777"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14:paraId="1CED06DB" w14:textId="77777777"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4C2CCA56" w14:textId="77777777"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14:paraId="6D5B29B8" w14:textId="77777777"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5D5C67EF" w14:textId="77777777"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14:paraId="3D0C31D6" w14:textId="77777777"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17E0BBCE" w14:textId="77777777"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14:paraId="2391983E" w14:textId="77777777"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14:paraId="238A442A" w14:textId="77777777"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14:paraId="0A65B73C" w14:textId="77777777" w:rsidR="00B7282B" w:rsidRDefault="0001213C" w:rsidP="004D7F41">
      <w:pPr>
        <w:pStyle w:val="RefText"/>
      </w:pPr>
      <w:r w:rsidRPr="00366351">
        <w:rPr>
          <w:szCs w:val="14"/>
        </w:rPr>
        <w:t>Bardet, G. (1920) Sur un syndrome d’obesite infantile avec polydactylie et retinite pigmentaire (contribution a l’etude des formes cliniques de l’obesite hypophysaire).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3154" w14:textId="77777777" w:rsidR="00746571" w:rsidRDefault="00746571">
      <w:r>
        <w:separator/>
      </w:r>
    </w:p>
  </w:endnote>
  <w:endnote w:type="continuationSeparator" w:id="0">
    <w:p w14:paraId="6461CFB1" w14:textId="77777777" w:rsidR="00746571" w:rsidRDefault="0074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Light">
    <w:altName w:val="Arial"/>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AdvPS2A83">
    <w:altName w:val="Calibri"/>
    <w:panose1 w:val="020B0604020202020204"/>
    <w:charset w:val="00"/>
    <w:family w:val="swiss"/>
    <w:notTrueType/>
    <w:pitch w:val="default"/>
    <w:sig w:usb0="00000003" w:usb1="00000000" w:usb2="00000000" w:usb3="00000000" w:csb0="00000001" w:csb1="00000000"/>
  </w:font>
  <w:font w:name="AdvPS2A8F">
    <w:altName w:val="Calibri"/>
    <w:panose1 w:val="020B0604020202020204"/>
    <w:charset w:val="00"/>
    <w:family w:val="swiss"/>
    <w:notTrueType/>
    <w:pitch w:val="default"/>
    <w:sig w:usb0="00000003" w:usb1="00000000" w:usb2="00000000" w:usb3="00000000" w:csb0="00000001" w:csb1="00000000"/>
  </w:font>
  <w:font w:name="AdvPSSAB-R">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CCB0" w14:textId="77777777" w:rsidR="00746571" w:rsidRDefault="00746571">
      <w:pPr>
        <w:pStyle w:val="Footer"/>
        <w:tabs>
          <w:tab w:val="clear" w:pos="4320"/>
          <w:tab w:val="left" w:pos="4860"/>
        </w:tabs>
        <w:spacing w:line="200" w:lineRule="exact"/>
        <w:rPr>
          <w:u w:val="single" w:color="000000"/>
        </w:rPr>
      </w:pPr>
      <w:r>
        <w:rPr>
          <w:u w:val="single" w:color="000000"/>
        </w:rPr>
        <w:tab/>
      </w:r>
    </w:p>
  </w:footnote>
  <w:footnote w:type="continuationSeparator" w:id="0">
    <w:p w14:paraId="080BEE70" w14:textId="77777777" w:rsidR="00746571" w:rsidRDefault="00746571">
      <w:pPr>
        <w:pStyle w:val="FootnoteText"/>
        <w:rPr>
          <w:szCs w:val="24"/>
        </w:rPr>
      </w:pPr>
      <w:r>
        <w:continuationSeparator/>
      </w:r>
    </w:p>
  </w:footnote>
  <w:footnote w:type="continuationNotice" w:id="1">
    <w:p w14:paraId="061A1462" w14:textId="77777777" w:rsidR="00746571" w:rsidRDefault="00746571">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43960" w14:textId="77777777" w:rsidR="00DD38F7" w:rsidRDefault="00746571">
    <w:pPr>
      <w:pStyle w:val="Header"/>
      <w:spacing w:after="0"/>
    </w:pPr>
    <w:r>
      <w:rPr>
        <w:noProof/>
      </w:rPr>
      <w:pict w14:anchorId="0C6E7FD6">
        <v:line id="_x0000_s1025" alt="" style="position:absolute;z-index:251660288;mso-wrap-edited:f;mso-width-percent:0;mso-height-percent:0;mso-position-vertical-relative:page;mso-width-percent:0;mso-height-percent:0" from="0,51.6pt" to="7in,51.6pt" o:allowoverlap="f" strokeweight=".5pt">
          <w10:wrap anchory="page"/>
          <w10:anchorlock/>
        </v:line>
      </w:pict>
    </w:r>
    <w:r w:rsidR="00DD38F7">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608C"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312951843">
    <w:abstractNumId w:val="5"/>
  </w:num>
  <w:num w:numId="2" w16cid:durableId="2129934199">
    <w:abstractNumId w:val="7"/>
  </w:num>
  <w:num w:numId="3" w16cid:durableId="1683966746">
    <w:abstractNumId w:val="3"/>
  </w:num>
  <w:num w:numId="4" w16cid:durableId="74018497">
    <w:abstractNumId w:val="2"/>
  </w:num>
  <w:num w:numId="5" w16cid:durableId="452946327">
    <w:abstractNumId w:val="6"/>
  </w:num>
  <w:num w:numId="6" w16cid:durableId="935361764">
    <w:abstractNumId w:val="6"/>
  </w:num>
  <w:num w:numId="7" w16cid:durableId="427505962">
    <w:abstractNumId w:val="6"/>
  </w:num>
  <w:num w:numId="8" w16cid:durableId="847060092">
    <w:abstractNumId w:val="10"/>
  </w:num>
  <w:num w:numId="9" w16cid:durableId="1858228091">
    <w:abstractNumId w:val="4"/>
  </w:num>
  <w:num w:numId="10" w16cid:durableId="997879645">
    <w:abstractNumId w:val="8"/>
  </w:num>
  <w:num w:numId="11" w16cid:durableId="1948124492">
    <w:abstractNumId w:val="9"/>
  </w:num>
  <w:num w:numId="12" w16cid:durableId="1141771536">
    <w:abstractNumId w:val="1"/>
  </w:num>
  <w:num w:numId="13" w16cid:durableId="13719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C20F3"/>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46571"/>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E5EE2"/>
    <w:rsid w:val="00C4341F"/>
    <w:rsid w:val="00CC20F3"/>
    <w:rsid w:val="00CC64E3"/>
    <w:rsid w:val="00CD1016"/>
    <w:rsid w:val="00CD1067"/>
    <w:rsid w:val="00CD55D8"/>
    <w:rsid w:val="00CF4BBC"/>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D394A96"/>
  <w15:docId w15:val="{3670DA7F-4408-9F49-937F-42AA7EEE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schulz/Download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0</TotalTime>
  <Pages>3</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Felicia Schulz</cp:lastModifiedBy>
  <cp:revision>1</cp:revision>
  <cp:lastPrinted>2007-07-04T12:14:00Z</cp:lastPrinted>
  <dcterms:created xsi:type="dcterms:W3CDTF">2023-03-18T19:15:00Z</dcterms:created>
  <dcterms:modified xsi:type="dcterms:W3CDTF">2023-03-18T19:15:00Z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